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1A" w:rsidRPr="007728E8" w:rsidRDefault="003568B6" w:rsidP="00156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TSG-RAN2#</w:t>
      </w:r>
      <w:r w:rsidR="00A458A9">
        <w:rPr>
          <w:b/>
          <w:noProof/>
          <w:sz w:val="24"/>
        </w:rPr>
        <w:t>9</w:t>
      </w:r>
      <w:r w:rsidR="00B60132">
        <w:rPr>
          <w:b/>
          <w:noProof/>
          <w:sz w:val="24"/>
        </w:rPr>
        <w:t>6</w:t>
      </w:r>
      <w:r w:rsidR="005A4A8D">
        <w:rPr>
          <w:b/>
          <w:noProof/>
          <w:sz w:val="24"/>
        </w:rPr>
        <w:t xml:space="preserve"> </w:t>
      </w:r>
      <w:r w:rsidR="001A6F32">
        <w:rPr>
          <w:b/>
          <w:noProof/>
          <w:sz w:val="24"/>
        </w:rPr>
        <w:t>m</w:t>
      </w:r>
      <w:r w:rsidR="00156A1A">
        <w:rPr>
          <w:b/>
          <w:noProof/>
          <w:sz w:val="24"/>
        </w:rPr>
        <w:t>eeting</w:t>
      </w:r>
      <w:r w:rsidR="00156A1A">
        <w:rPr>
          <w:b/>
          <w:i/>
          <w:noProof/>
          <w:sz w:val="28"/>
        </w:rPr>
        <w:tab/>
      </w:r>
      <w:r w:rsidR="006C6B47">
        <w:rPr>
          <w:b/>
          <w:i/>
          <w:noProof/>
          <w:sz w:val="28"/>
        </w:rPr>
        <w:t xml:space="preserve"> </w:t>
      </w:r>
      <w:r w:rsidR="00071E0C" w:rsidRPr="00071E0C">
        <w:rPr>
          <w:b/>
          <w:noProof/>
          <w:sz w:val="28"/>
        </w:rPr>
        <w:t xml:space="preserve">Tdoc </w:t>
      </w:r>
      <w:r w:rsidR="00A1587B" w:rsidRPr="00071E0C">
        <w:rPr>
          <w:b/>
          <w:noProof/>
          <w:sz w:val="28"/>
        </w:rPr>
        <w:t>R</w:t>
      </w:r>
      <w:r w:rsidR="00A1587B" w:rsidRPr="003A282C">
        <w:rPr>
          <w:b/>
          <w:noProof/>
          <w:sz w:val="28"/>
        </w:rPr>
        <w:t>2-</w:t>
      </w:r>
      <w:r w:rsidR="004C54F1" w:rsidRPr="003A282C">
        <w:rPr>
          <w:b/>
          <w:noProof/>
          <w:sz w:val="28"/>
        </w:rPr>
        <w:t>1</w:t>
      </w:r>
      <w:r w:rsidR="004C54F1">
        <w:rPr>
          <w:b/>
          <w:noProof/>
          <w:sz w:val="28"/>
        </w:rPr>
        <w:t>6</w:t>
      </w:r>
      <w:r w:rsidR="004117B4">
        <w:rPr>
          <w:b/>
          <w:noProof/>
          <w:sz w:val="28"/>
        </w:rPr>
        <w:t>8586</w:t>
      </w:r>
      <w:bookmarkStart w:id="0" w:name="_GoBack"/>
      <w:bookmarkEnd w:id="0"/>
    </w:p>
    <w:p w:rsidR="00156A1A" w:rsidRDefault="00B60132" w:rsidP="00156A1A">
      <w:pPr>
        <w:pStyle w:val="CRCoverPage"/>
        <w:rPr>
          <w:b/>
          <w:noProof/>
          <w:sz w:val="24"/>
        </w:rPr>
      </w:pPr>
      <w:r w:rsidRPr="00B60132">
        <w:rPr>
          <w:b/>
          <w:sz w:val="24"/>
          <w:szCs w:val="24"/>
        </w:rPr>
        <w:t>Reno, Nevada</w:t>
      </w:r>
      <w:r w:rsidR="002C600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U.S.</w:t>
      </w:r>
      <w:r w:rsidR="000B4201">
        <w:rPr>
          <w:b/>
          <w:sz w:val="24"/>
          <w:szCs w:val="24"/>
        </w:rPr>
        <w:t xml:space="preserve">, </w:t>
      </w:r>
      <w:r w:rsidR="00561AC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="000B4201">
        <w:rPr>
          <w:b/>
          <w:sz w:val="24"/>
          <w:szCs w:val="24"/>
        </w:rPr>
        <w:t xml:space="preserve"> - </w:t>
      </w:r>
      <w:r w:rsidR="00561AC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0B4201">
        <w:rPr>
          <w:b/>
          <w:sz w:val="24"/>
          <w:szCs w:val="24"/>
        </w:rPr>
        <w:t xml:space="preserve"> </w:t>
      </w:r>
      <w:r w:rsidRPr="00B60132">
        <w:rPr>
          <w:b/>
          <w:sz w:val="24"/>
          <w:szCs w:val="24"/>
        </w:rPr>
        <w:t>November</w:t>
      </w:r>
      <w:r w:rsidR="002C600F" w:rsidRPr="009E4773">
        <w:rPr>
          <w:b/>
          <w:sz w:val="24"/>
          <w:szCs w:val="24"/>
        </w:rPr>
        <w:t xml:space="preserve"> </w:t>
      </w:r>
      <w:r w:rsidR="00D368AF">
        <w:rPr>
          <w:b/>
          <w:sz w:val="24"/>
          <w:szCs w:val="24"/>
        </w:rPr>
        <w:t>2016</w:t>
      </w:r>
    </w:p>
    <w:p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561ACD">
        <w:rPr>
          <w:b/>
          <w:noProof/>
          <w:sz w:val="24"/>
        </w:rPr>
        <w:t>9.</w:t>
      </w:r>
      <w:r w:rsidR="00C55B50">
        <w:rPr>
          <w:b/>
          <w:noProof/>
          <w:sz w:val="24"/>
        </w:rPr>
        <w:t>2.1.1</w:t>
      </w:r>
    </w:p>
    <w:p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B60132" w:rsidRPr="00B60132">
        <w:rPr>
          <w:b/>
          <w:noProof/>
          <w:sz w:val="24"/>
        </w:rPr>
        <w:t>Overhead analysis</w:t>
      </w:r>
      <w:r w:rsidR="00C55B50">
        <w:rPr>
          <w:b/>
          <w:noProof/>
          <w:sz w:val="24"/>
        </w:rPr>
        <w:t xml:space="preserve"> of</w:t>
      </w:r>
      <w:r w:rsidR="00B60132" w:rsidRPr="00B60132">
        <w:rPr>
          <w:b/>
          <w:noProof/>
          <w:sz w:val="24"/>
        </w:rPr>
        <w:t xml:space="preserve"> SO based segmentation</w:t>
      </w:r>
      <w:r w:rsidR="0035043E">
        <w:rPr>
          <w:b/>
          <w:noProof/>
          <w:sz w:val="24"/>
        </w:rPr>
        <w:t xml:space="preserve"> for low data rate</w:t>
      </w:r>
      <w:r w:rsidR="00C55B50">
        <w:rPr>
          <w:b/>
          <w:noProof/>
          <w:sz w:val="24"/>
        </w:rPr>
        <w:t>s</w:t>
      </w:r>
    </w:p>
    <w:bookmarkEnd w:id="1"/>
    <w:bookmarkEnd w:id="2"/>
    <w:p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:rsidR="00176C26" w:rsidRPr="00F075A8" w:rsidRDefault="00176C26" w:rsidP="00176C26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In RAN2#95</w:t>
      </w:r>
      <w:r w:rsidR="002473DF">
        <w:rPr>
          <w:rFonts w:ascii="Arial" w:hAnsi="Arial" w:cs="Arial"/>
          <w:lang w:eastAsia="ko-KR"/>
        </w:rPr>
        <w:t xml:space="preserve">BIS </w:t>
      </w:r>
      <w:r w:rsidR="00D65BD2">
        <w:rPr>
          <w:rFonts w:ascii="Arial" w:hAnsi="Arial" w:cs="Arial"/>
          <w:lang w:eastAsia="ko-KR"/>
        </w:rPr>
        <w:t>meeting</w:t>
      </w:r>
      <w:r>
        <w:rPr>
          <w:rFonts w:ascii="Arial" w:hAnsi="Arial" w:cs="Arial" w:hint="eastAsia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r w:rsidR="00221C9E">
        <w:rPr>
          <w:rFonts w:ascii="Arial" w:hAnsi="Arial" w:cs="Arial"/>
          <w:lang w:eastAsia="ko-KR"/>
        </w:rPr>
        <w:t>RAN2</w:t>
      </w:r>
      <w:r w:rsidR="002473DF">
        <w:rPr>
          <w:rFonts w:ascii="Arial" w:hAnsi="Arial" w:cs="Arial"/>
          <w:lang w:eastAsia="ko-KR"/>
        </w:rPr>
        <w:t xml:space="preserve"> reached the </w:t>
      </w:r>
      <w:r>
        <w:rPr>
          <w:rFonts w:ascii="Arial" w:hAnsi="Arial" w:cs="Arial"/>
          <w:lang w:eastAsia="ko-KR"/>
        </w:rPr>
        <w:t>following agreement on segmentation</w:t>
      </w:r>
      <w:r>
        <w:rPr>
          <w:rFonts w:ascii="Arial" w:hAnsi="Arial" w:cs="Arial" w:hint="eastAsia"/>
          <w:lang w:eastAsia="ko-KR"/>
        </w:rPr>
        <w:t>.</w:t>
      </w:r>
    </w:p>
    <w:p w:rsidR="00176C26" w:rsidRDefault="00176C26" w:rsidP="00176C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:rsidR="00176C26" w:rsidRDefault="00176C26" w:rsidP="00176C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</w:r>
      <w:r w:rsidRPr="004151FF">
        <w:t>SO-based segmentation can be considered for both segmentation and resegmentation as a baseline in NR user plane to support high data rate.</w:t>
      </w:r>
      <w:r>
        <w:t xml:space="preserve"> (Does not imply anything about location of concatenation). </w:t>
      </w:r>
      <w:r w:rsidRPr="001605E8">
        <w:rPr>
          <w:highlight w:val="yellow"/>
        </w:rPr>
        <w:t>At least overhead for the low data rate case should be analysed further.</w:t>
      </w:r>
    </w:p>
    <w:p w:rsidR="00176C26" w:rsidRPr="004151FF" w:rsidRDefault="00176C26" w:rsidP="00176C26">
      <w:pPr>
        <w:pStyle w:val="Doc-text2"/>
        <w:ind w:left="0" w:firstLine="0"/>
      </w:pPr>
    </w:p>
    <w:p w:rsidR="00221C9E" w:rsidRDefault="00221C9E" w:rsidP="00176C26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Based on the </w:t>
      </w:r>
      <w:r w:rsidR="002473DF">
        <w:rPr>
          <w:rFonts w:ascii="Arial" w:hAnsi="Arial" w:cs="Arial"/>
          <w:lang w:eastAsia="ko-KR"/>
        </w:rPr>
        <w:t xml:space="preserve">above </w:t>
      </w:r>
      <w:r>
        <w:rPr>
          <w:rFonts w:ascii="Arial" w:hAnsi="Arial" w:cs="Arial"/>
          <w:lang w:eastAsia="ko-KR"/>
        </w:rPr>
        <w:t>agr</w:t>
      </w:r>
      <w:r w:rsidR="002473DF">
        <w:rPr>
          <w:rFonts w:ascii="Arial" w:hAnsi="Arial" w:cs="Arial"/>
          <w:lang w:eastAsia="ko-KR"/>
        </w:rPr>
        <w:t>e</w:t>
      </w:r>
      <w:r>
        <w:rPr>
          <w:rFonts w:ascii="Arial" w:hAnsi="Arial" w:cs="Arial"/>
          <w:lang w:eastAsia="ko-KR"/>
        </w:rPr>
        <w:t>ement,</w:t>
      </w:r>
      <w:r w:rsidR="008F51BA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we provide overhead analysis</w:t>
      </w:r>
      <w:r w:rsidRPr="00221C9E">
        <w:t xml:space="preserve"> </w:t>
      </w:r>
      <w:r w:rsidRPr="00221C9E">
        <w:rPr>
          <w:rFonts w:ascii="Arial" w:hAnsi="Arial" w:cs="Arial"/>
          <w:lang w:eastAsia="ko-KR"/>
        </w:rPr>
        <w:t xml:space="preserve">on </w:t>
      </w:r>
      <w:r w:rsidR="00B26908" w:rsidRPr="00B26908">
        <w:rPr>
          <w:rFonts w:ascii="Arial" w:hAnsi="Arial" w:cs="Arial"/>
          <w:lang w:eastAsia="ko-KR"/>
        </w:rPr>
        <w:t>Framing Info</w:t>
      </w:r>
      <w:r w:rsidR="00B26908">
        <w:rPr>
          <w:rFonts w:ascii="Arial" w:hAnsi="Arial" w:cs="Arial"/>
          <w:lang w:eastAsia="ko-KR"/>
        </w:rPr>
        <w:t xml:space="preserve"> (FI)</w:t>
      </w:r>
      <w:r w:rsidR="003D4200" w:rsidRPr="003D4200">
        <w:rPr>
          <w:rFonts w:ascii="Arial" w:hAnsi="Arial" w:cs="Arial"/>
          <w:lang w:eastAsia="ko-KR"/>
        </w:rPr>
        <w:t xml:space="preserve">-based segmentation and </w:t>
      </w:r>
      <w:r w:rsidR="00B26908" w:rsidRPr="00B26908">
        <w:rPr>
          <w:rFonts w:ascii="Arial" w:hAnsi="Arial" w:cs="Arial"/>
          <w:lang w:eastAsia="ko-KR"/>
        </w:rPr>
        <w:t>Segment Offset</w:t>
      </w:r>
      <w:r w:rsidR="00B26908">
        <w:rPr>
          <w:rFonts w:ascii="Arial" w:hAnsi="Arial" w:cs="Arial"/>
          <w:lang w:eastAsia="ko-KR"/>
        </w:rPr>
        <w:t xml:space="preserve"> (</w:t>
      </w:r>
      <w:r w:rsidR="003D4200" w:rsidRPr="003D4200">
        <w:rPr>
          <w:rFonts w:ascii="Arial" w:hAnsi="Arial" w:cs="Arial"/>
          <w:lang w:eastAsia="ko-KR"/>
        </w:rPr>
        <w:t>SO</w:t>
      </w:r>
      <w:r w:rsidR="00B26908">
        <w:rPr>
          <w:rFonts w:ascii="Arial" w:hAnsi="Arial" w:cs="Arial"/>
          <w:lang w:eastAsia="ko-KR"/>
        </w:rPr>
        <w:t>)</w:t>
      </w:r>
      <w:r w:rsidR="003D4200" w:rsidRPr="003D4200">
        <w:rPr>
          <w:rFonts w:ascii="Arial" w:hAnsi="Arial" w:cs="Arial"/>
          <w:lang w:eastAsia="ko-KR"/>
        </w:rPr>
        <w:t>-based segmentation</w:t>
      </w:r>
      <w:r w:rsidR="000E670D">
        <w:rPr>
          <w:rFonts w:ascii="Arial" w:hAnsi="Arial" w:cs="Arial"/>
          <w:lang w:eastAsia="ko-KR"/>
        </w:rPr>
        <w:t xml:space="preserve"> for low data rate cases</w:t>
      </w:r>
      <w:r w:rsidR="00460A8B">
        <w:rPr>
          <w:rFonts w:ascii="Arial" w:hAnsi="Arial" w:cs="Arial"/>
          <w:lang w:eastAsia="ko-KR"/>
        </w:rPr>
        <w:t>.</w:t>
      </w:r>
    </w:p>
    <w:p w:rsidR="0042773E" w:rsidRDefault="00972E3C" w:rsidP="00494271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114BBE">
        <w:rPr>
          <w:lang w:val="en-US" w:eastAsia="ko-KR"/>
        </w:rPr>
        <w:t>Discussion</w:t>
      </w:r>
    </w:p>
    <w:p w:rsidR="00830FB4" w:rsidRDefault="00026AE3" w:rsidP="00561ACD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In this contribution, we </w:t>
      </w:r>
      <w:r w:rsidR="00D65BD2">
        <w:rPr>
          <w:rFonts w:ascii="Arial" w:eastAsia="MS Mincho" w:hAnsi="Arial"/>
          <w:szCs w:val="24"/>
        </w:rPr>
        <w:t>first</w:t>
      </w:r>
      <w:r w:rsidR="002473DF">
        <w:rPr>
          <w:rFonts w:ascii="Arial" w:eastAsia="MS Mincho" w:hAnsi="Arial"/>
          <w:szCs w:val="24"/>
        </w:rPr>
        <w:t xml:space="preserve"> </w:t>
      </w:r>
      <w:r w:rsidR="002473DF" w:rsidRPr="002473DF">
        <w:rPr>
          <w:rFonts w:ascii="Arial" w:eastAsia="MS Mincho" w:hAnsi="Arial"/>
          <w:szCs w:val="24"/>
        </w:rPr>
        <w:t>describe, in some detail,</w:t>
      </w:r>
      <w:r w:rsidR="002473DF">
        <w:rPr>
          <w:rFonts w:ascii="Arial" w:eastAsia="MS Mincho" w:hAnsi="Arial"/>
          <w:szCs w:val="24"/>
        </w:rPr>
        <w:t xml:space="preserve"> the </w:t>
      </w:r>
      <w:r>
        <w:rPr>
          <w:rFonts w:ascii="Arial" w:eastAsia="MS Mincho" w:hAnsi="Arial"/>
          <w:szCs w:val="24"/>
        </w:rPr>
        <w:t xml:space="preserve">header format for </w:t>
      </w:r>
      <w:r w:rsidR="00AA4C0C" w:rsidRPr="00AA4C0C">
        <w:rPr>
          <w:rFonts w:ascii="Arial" w:eastAsia="MS Mincho" w:hAnsi="Arial"/>
          <w:szCs w:val="24"/>
        </w:rPr>
        <w:t>FI-based segmentation and SO-based resegmentation</w:t>
      </w:r>
      <w:r w:rsidR="00AA4C0C">
        <w:rPr>
          <w:rFonts w:ascii="Arial" w:eastAsia="MS Mincho" w:hAnsi="Arial"/>
          <w:szCs w:val="24"/>
        </w:rPr>
        <w:t xml:space="preserve"> </w:t>
      </w:r>
      <w:r>
        <w:rPr>
          <w:rFonts w:ascii="Arial" w:eastAsia="MS Mincho" w:hAnsi="Arial"/>
          <w:szCs w:val="24"/>
        </w:rPr>
        <w:t>i</w:t>
      </w:r>
      <w:r w:rsidR="00AA4C0C" w:rsidRPr="00AA4C0C">
        <w:rPr>
          <w:rFonts w:ascii="Arial" w:eastAsia="MS Mincho" w:hAnsi="Arial"/>
          <w:szCs w:val="24"/>
        </w:rPr>
        <w:t>n LTE</w:t>
      </w:r>
      <w:r>
        <w:rPr>
          <w:rFonts w:ascii="Arial" w:eastAsia="MS Mincho" w:hAnsi="Arial"/>
          <w:szCs w:val="24"/>
        </w:rPr>
        <w:t>.</w:t>
      </w:r>
      <w:r w:rsidR="00B65A4C">
        <w:rPr>
          <w:rFonts w:ascii="Arial" w:eastAsia="MS Mincho" w:hAnsi="Arial"/>
          <w:szCs w:val="24"/>
        </w:rPr>
        <w:t xml:space="preserve"> For AMD PDU with 10 bit SN and 16 bit SN, fixed overhead part</w:t>
      </w:r>
      <w:r w:rsidR="002473DF">
        <w:rPr>
          <w:rFonts w:ascii="Arial" w:eastAsia="MS Mincho" w:hAnsi="Arial"/>
          <w:szCs w:val="24"/>
        </w:rPr>
        <w:t>s</w:t>
      </w:r>
      <w:r w:rsidR="00B65A4C">
        <w:rPr>
          <w:rFonts w:ascii="Arial" w:eastAsia="MS Mincho" w:hAnsi="Arial"/>
          <w:szCs w:val="24"/>
        </w:rPr>
        <w:t xml:space="preserve"> are 2 and 3 </w:t>
      </w:r>
      <w:r w:rsidR="002473DF">
        <w:rPr>
          <w:rFonts w:ascii="Arial" w:eastAsia="MS Mincho" w:hAnsi="Arial"/>
          <w:szCs w:val="24"/>
        </w:rPr>
        <w:t>b</w:t>
      </w:r>
      <w:r w:rsidR="00B65A4C">
        <w:rPr>
          <w:rFonts w:ascii="Arial" w:eastAsia="MS Mincho" w:hAnsi="Arial"/>
          <w:szCs w:val="24"/>
        </w:rPr>
        <w:t>ytes,</w:t>
      </w:r>
      <w:r w:rsidR="002473DF">
        <w:rPr>
          <w:rFonts w:ascii="Arial" w:eastAsia="MS Mincho" w:hAnsi="Arial"/>
          <w:szCs w:val="24"/>
        </w:rPr>
        <w:t xml:space="preserve"> </w:t>
      </w:r>
      <w:r w:rsidR="00B65A4C">
        <w:rPr>
          <w:rFonts w:ascii="Arial" w:eastAsia="MS Mincho" w:hAnsi="Arial"/>
          <w:szCs w:val="24"/>
        </w:rPr>
        <w:t xml:space="preserve">respectively. For AMD PDU segment with 10 bit SN and 16 bit SN, fixed overhead part are 4 and 5 </w:t>
      </w:r>
      <w:r w:rsidR="002473DF">
        <w:rPr>
          <w:rFonts w:ascii="Arial" w:eastAsia="MS Mincho" w:hAnsi="Arial"/>
          <w:szCs w:val="24"/>
        </w:rPr>
        <w:t>b</w:t>
      </w:r>
      <w:r w:rsidR="00B65A4C">
        <w:rPr>
          <w:rFonts w:ascii="Arial" w:eastAsia="MS Mincho" w:hAnsi="Arial"/>
          <w:szCs w:val="24"/>
        </w:rPr>
        <w:t>ytes.</w:t>
      </w:r>
    </w:p>
    <w:tbl>
      <w:tblPr>
        <w:tblW w:w="5786" w:type="dxa"/>
        <w:jc w:val="center"/>
        <w:tblLook w:val="04A0" w:firstRow="1" w:lastRow="0" w:firstColumn="1" w:lastColumn="0" w:noHBand="0" w:noVBand="1"/>
      </w:tblPr>
      <w:tblGrid>
        <w:gridCol w:w="1262"/>
        <w:gridCol w:w="1131"/>
        <w:gridCol w:w="1131"/>
        <w:gridCol w:w="1131"/>
        <w:gridCol w:w="1131"/>
      </w:tblGrid>
      <w:tr w:rsidR="00FF4CCF" w:rsidRPr="00FF4CCF" w:rsidTr="00EE6EF2">
        <w:trPr>
          <w:trHeight w:val="330"/>
          <w:jc w:val="center"/>
        </w:trPr>
        <w:tc>
          <w:tcPr>
            <w:tcW w:w="12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Format</w:t>
            </w:r>
          </w:p>
        </w:tc>
        <w:tc>
          <w:tcPr>
            <w:tcW w:w="22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AMD PDU</w:t>
            </w:r>
          </w:p>
        </w:tc>
        <w:tc>
          <w:tcPr>
            <w:tcW w:w="22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AMD PDU segment</w:t>
            </w:r>
          </w:p>
        </w:tc>
      </w:tr>
      <w:tr w:rsidR="00FF4CCF" w:rsidRPr="00FF4CCF" w:rsidTr="00EE6EF2">
        <w:trPr>
          <w:trHeight w:val="33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Field (bits)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10 bit SN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 bit SN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10 bit SN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 bit SN</w:t>
            </w:r>
          </w:p>
        </w:tc>
      </w:tr>
      <w:tr w:rsidR="00FF4CCF" w:rsidRPr="00FF4CCF" w:rsidTr="00EE6EF2">
        <w:trPr>
          <w:trHeight w:val="315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D/C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FF4CCF" w:rsidRPr="00FF4CCF" w:rsidTr="00EE6EF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RF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FF4CCF" w:rsidRPr="00FF4CCF" w:rsidTr="00EE6EF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P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FF4CCF" w:rsidRPr="00FF4CCF" w:rsidTr="00EE6EF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FI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2</w:t>
            </w:r>
          </w:p>
        </w:tc>
      </w:tr>
      <w:tr w:rsidR="00FF4CCF" w:rsidRPr="00FF4CCF" w:rsidTr="00EE6EF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E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FF4CCF" w:rsidRPr="00FF4CCF" w:rsidTr="00EE6EF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R1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1</w:t>
            </w:r>
          </w:p>
        </w:tc>
      </w:tr>
      <w:tr w:rsidR="00FF4CCF" w:rsidRPr="00FF4CCF" w:rsidTr="00EE6EF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SN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</w:tr>
      <w:tr w:rsidR="00FF4CCF" w:rsidRPr="00FF4CCF" w:rsidTr="00EE6EF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LSF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FF4CCF" w:rsidRPr="00FF4CCF" w:rsidTr="00EE6EF2">
        <w:trPr>
          <w:trHeight w:val="315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SO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</w:tr>
      <w:tr w:rsidR="00FF4CCF" w:rsidRPr="00FF4CCF" w:rsidTr="00EE6EF2">
        <w:trPr>
          <w:trHeight w:val="330"/>
          <w:jc w:val="center"/>
        </w:trPr>
        <w:tc>
          <w:tcPr>
            <w:tcW w:w="12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Total</w:t>
            </w:r>
          </w:p>
        </w:tc>
        <w:tc>
          <w:tcPr>
            <w:tcW w:w="113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13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113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CCF" w:rsidRPr="00FF4CCF" w:rsidRDefault="00FF4CCF" w:rsidP="00FF4CCF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F4CCF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 w:rsidR="00FF4CCF" w:rsidRPr="00FF145E" w:rsidRDefault="00FF4CCF" w:rsidP="00FF4CCF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Table 1</w:t>
      </w:r>
      <w:r w:rsidRPr="00FF145E">
        <w:rPr>
          <w:rFonts w:ascii="Arial" w:hAnsi="Arial" w:cs="Arial" w:hint="eastAsia"/>
          <w:b/>
          <w:lang w:eastAsia="ko-KR"/>
        </w:rPr>
        <w:t xml:space="preserve">. </w:t>
      </w:r>
      <w:r w:rsidR="00BF7DE2">
        <w:rPr>
          <w:rFonts w:ascii="Arial" w:hAnsi="Arial" w:cs="Arial"/>
          <w:b/>
          <w:lang w:eastAsia="ko-KR"/>
        </w:rPr>
        <w:t>RLC AM header</w:t>
      </w:r>
    </w:p>
    <w:p w:rsidR="00537872" w:rsidRDefault="00481100" w:rsidP="00561ACD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Then we show </w:t>
      </w:r>
      <w:r w:rsidR="0035043E" w:rsidRPr="0035043E">
        <w:rPr>
          <w:rFonts w:ascii="Arial" w:eastAsia="MS Mincho" w:hAnsi="Arial"/>
          <w:szCs w:val="24"/>
        </w:rPr>
        <w:t>how FI-based segmentation and SO-based resegmentation works</w:t>
      </w:r>
      <w:r>
        <w:rPr>
          <w:rFonts w:ascii="Arial" w:eastAsia="MS Mincho" w:hAnsi="Arial"/>
          <w:szCs w:val="24"/>
        </w:rPr>
        <w:t xml:space="preserve"> for one RLC SDU</w:t>
      </w:r>
      <w:r w:rsidR="0035043E" w:rsidRPr="0035043E">
        <w:rPr>
          <w:rFonts w:ascii="Arial" w:eastAsia="MS Mincho" w:hAnsi="Arial"/>
          <w:szCs w:val="24"/>
        </w:rPr>
        <w:t xml:space="preserve"> in LTE.</w:t>
      </w:r>
      <w:r>
        <w:rPr>
          <w:rFonts w:ascii="Arial" w:eastAsia="MS Mincho" w:hAnsi="Arial"/>
          <w:szCs w:val="24"/>
        </w:rPr>
        <w:t xml:space="preserve"> </w:t>
      </w:r>
      <w:r w:rsidR="0035043E" w:rsidRPr="0035043E">
        <w:rPr>
          <w:rFonts w:ascii="Arial" w:eastAsia="MS Mincho" w:hAnsi="Arial"/>
          <w:szCs w:val="24"/>
        </w:rPr>
        <w:t>In Figure 1, one RLC SDU is fragmented into two segmented SDUs which have individual RLC SNs with appropriate FI fields,</w:t>
      </w:r>
      <w:r>
        <w:rPr>
          <w:rFonts w:ascii="Arial" w:eastAsia="MS Mincho" w:hAnsi="Arial"/>
          <w:szCs w:val="24"/>
        </w:rPr>
        <w:t xml:space="preserve"> </w:t>
      </w:r>
      <w:r w:rsidR="0035043E" w:rsidRPr="0035043E">
        <w:rPr>
          <w:rFonts w:ascii="Arial" w:eastAsia="MS Mincho" w:hAnsi="Arial"/>
          <w:szCs w:val="24"/>
        </w:rPr>
        <w:t xml:space="preserve">i.e. </w:t>
      </w:r>
      <w:r>
        <w:rPr>
          <w:rFonts w:ascii="Arial" w:eastAsia="MS Mincho" w:hAnsi="Arial"/>
          <w:szCs w:val="24"/>
        </w:rPr>
        <w:t xml:space="preserve">FI </w:t>
      </w:r>
      <w:r w:rsidR="0035043E" w:rsidRPr="0035043E">
        <w:rPr>
          <w:rFonts w:ascii="Arial" w:eastAsia="MS Mincho" w:hAnsi="Arial"/>
          <w:szCs w:val="24"/>
        </w:rPr>
        <w:t>=</w:t>
      </w:r>
      <w:r>
        <w:rPr>
          <w:rFonts w:ascii="Arial" w:eastAsia="MS Mincho" w:hAnsi="Arial"/>
          <w:szCs w:val="24"/>
        </w:rPr>
        <w:t xml:space="preserve"> </w:t>
      </w:r>
      <w:r w:rsidR="0035043E" w:rsidRPr="0035043E">
        <w:rPr>
          <w:rFonts w:ascii="Arial" w:eastAsia="MS Mincho" w:hAnsi="Arial"/>
          <w:szCs w:val="24"/>
        </w:rPr>
        <w:t>0</w:t>
      </w:r>
      <w:r>
        <w:rPr>
          <w:rFonts w:ascii="Arial" w:eastAsia="MS Mincho" w:hAnsi="Arial"/>
          <w:szCs w:val="24"/>
        </w:rPr>
        <w:t>1</w:t>
      </w:r>
      <w:r w:rsidR="0035043E" w:rsidRPr="0035043E">
        <w:rPr>
          <w:rFonts w:ascii="Arial" w:eastAsia="MS Mincho" w:hAnsi="Arial"/>
          <w:szCs w:val="24"/>
        </w:rPr>
        <w:t xml:space="preserve"> and </w:t>
      </w:r>
      <w:r>
        <w:rPr>
          <w:rFonts w:ascii="Arial" w:eastAsia="MS Mincho" w:hAnsi="Arial"/>
          <w:szCs w:val="24"/>
        </w:rPr>
        <w:t xml:space="preserve">SN </w:t>
      </w:r>
      <w:r w:rsidR="0035043E" w:rsidRPr="0035043E">
        <w:rPr>
          <w:rFonts w:ascii="Arial" w:eastAsia="MS Mincho" w:hAnsi="Arial"/>
          <w:szCs w:val="24"/>
        </w:rPr>
        <w:t>=</w:t>
      </w:r>
      <w:r>
        <w:rPr>
          <w:rFonts w:ascii="Arial" w:eastAsia="MS Mincho" w:hAnsi="Arial"/>
          <w:szCs w:val="24"/>
        </w:rPr>
        <w:t xml:space="preserve"> </w:t>
      </w:r>
      <w:r w:rsidR="0035043E" w:rsidRPr="0035043E">
        <w:rPr>
          <w:rFonts w:ascii="Arial" w:eastAsia="MS Mincho" w:hAnsi="Arial"/>
          <w:szCs w:val="24"/>
        </w:rPr>
        <w:t xml:space="preserve">0 for 1st segment and </w:t>
      </w:r>
      <w:r>
        <w:rPr>
          <w:rFonts w:ascii="Arial" w:eastAsia="MS Mincho" w:hAnsi="Arial"/>
          <w:szCs w:val="24"/>
        </w:rPr>
        <w:t xml:space="preserve">FI = 10 and </w:t>
      </w:r>
      <w:r w:rsidR="0035043E" w:rsidRPr="0035043E">
        <w:rPr>
          <w:rFonts w:ascii="Arial" w:eastAsia="MS Mincho" w:hAnsi="Arial"/>
          <w:szCs w:val="24"/>
        </w:rPr>
        <w:t>SN</w:t>
      </w:r>
      <w:r>
        <w:rPr>
          <w:rFonts w:ascii="Arial" w:eastAsia="MS Mincho" w:hAnsi="Arial"/>
          <w:szCs w:val="24"/>
        </w:rPr>
        <w:t xml:space="preserve"> </w:t>
      </w:r>
      <w:r w:rsidR="0035043E" w:rsidRPr="0035043E">
        <w:rPr>
          <w:rFonts w:ascii="Arial" w:eastAsia="MS Mincho" w:hAnsi="Arial"/>
          <w:szCs w:val="24"/>
        </w:rPr>
        <w:t>=</w:t>
      </w:r>
      <w:r>
        <w:rPr>
          <w:rFonts w:ascii="Arial" w:eastAsia="MS Mincho" w:hAnsi="Arial"/>
          <w:szCs w:val="24"/>
        </w:rPr>
        <w:t xml:space="preserve"> </w:t>
      </w:r>
      <w:r w:rsidR="0035043E" w:rsidRPr="0035043E">
        <w:rPr>
          <w:rFonts w:ascii="Arial" w:eastAsia="MS Mincho" w:hAnsi="Arial"/>
          <w:szCs w:val="24"/>
        </w:rPr>
        <w:t>1</w:t>
      </w:r>
      <w:r>
        <w:rPr>
          <w:rFonts w:ascii="Arial" w:eastAsia="MS Mincho" w:hAnsi="Arial"/>
          <w:szCs w:val="24"/>
        </w:rPr>
        <w:t xml:space="preserve"> </w:t>
      </w:r>
      <w:r w:rsidR="0035043E" w:rsidRPr="0035043E">
        <w:rPr>
          <w:rFonts w:ascii="Arial" w:eastAsia="MS Mincho" w:hAnsi="Arial"/>
          <w:szCs w:val="24"/>
        </w:rPr>
        <w:t>for 2nd segment. If the resegmentation is required at</w:t>
      </w:r>
      <w:r>
        <w:rPr>
          <w:rFonts w:ascii="Arial" w:eastAsia="MS Mincho" w:hAnsi="Arial"/>
          <w:szCs w:val="24"/>
        </w:rPr>
        <w:t xml:space="preserve"> </w:t>
      </w:r>
      <w:r w:rsidR="0035043E" w:rsidRPr="0035043E">
        <w:rPr>
          <w:rFonts w:ascii="Arial" w:eastAsia="MS Mincho" w:hAnsi="Arial"/>
          <w:szCs w:val="24"/>
        </w:rPr>
        <w:t xml:space="preserve">retransmission, </w:t>
      </w:r>
      <w:r>
        <w:rPr>
          <w:rFonts w:ascii="Arial" w:eastAsia="MS Mincho" w:hAnsi="Arial"/>
          <w:szCs w:val="24"/>
        </w:rPr>
        <w:t xml:space="preserve">LSF and </w:t>
      </w:r>
      <w:r w:rsidR="0035043E" w:rsidRPr="0035043E">
        <w:rPr>
          <w:rFonts w:ascii="Arial" w:eastAsia="MS Mincho" w:hAnsi="Arial"/>
          <w:szCs w:val="24"/>
        </w:rPr>
        <w:t xml:space="preserve">SO field is additionally attached </w:t>
      </w:r>
      <w:r>
        <w:rPr>
          <w:rFonts w:ascii="Arial" w:eastAsia="MS Mincho" w:hAnsi="Arial"/>
          <w:szCs w:val="24"/>
        </w:rPr>
        <w:t xml:space="preserve">and </w:t>
      </w:r>
      <w:r w:rsidR="0035043E" w:rsidRPr="0035043E">
        <w:rPr>
          <w:rFonts w:ascii="Arial" w:eastAsia="MS Mincho" w:hAnsi="Arial"/>
          <w:szCs w:val="24"/>
        </w:rPr>
        <w:t xml:space="preserve">set </w:t>
      </w:r>
      <w:r>
        <w:rPr>
          <w:rFonts w:ascii="Arial" w:eastAsia="MS Mincho" w:hAnsi="Arial"/>
          <w:szCs w:val="24"/>
        </w:rPr>
        <w:t xml:space="preserve">to </w:t>
      </w:r>
      <w:r w:rsidRPr="00481100">
        <w:rPr>
          <w:rFonts w:ascii="Arial" w:eastAsia="MS Mincho" w:hAnsi="Arial"/>
          <w:szCs w:val="24"/>
        </w:rPr>
        <w:t xml:space="preserve">appropriate </w:t>
      </w:r>
      <w:r>
        <w:rPr>
          <w:rFonts w:ascii="Arial" w:eastAsia="MS Mincho" w:hAnsi="Arial"/>
          <w:szCs w:val="24"/>
        </w:rPr>
        <w:t>value</w:t>
      </w:r>
      <w:r w:rsidR="0035043E" w:rsidRPr="0035043E">
        <w:rPr>
          <w:rFonts w:ascii="Arial" w:eastAsia="MS Mincho" w:hAnsi="Arial"/>
          <w:szCs w:val="24"/>
        </w:rPr>
        <w:t>.</w:t>
      </w:r>
    </w:p>
    <w:p w:rsidR="00537872" w:rsidRDefault="006932E0" w:rsidP="009E3649">
      <w:pPr>
        <w:jc w:val="center"/>
        <w:rPr>
          <w:rFonts w:ascii="Arial" w:eastAsia="MS Mincho" w:hAnsi="Arial"/>
          <w:szCs w:val="24"/>
        </w:rPr>
      </w:pPr>
      <w:r>
        <w:rPr>
          <w:rFonts w:ascii="Arial" w:eastAsia="MS Mincho" w:hAnsi="Arial"/>
          <w:noProof/>
          <w:szCs w:val="24"/>
          <w:lang w:val="en-US"/>
        </w:rPr>
        <w:lastRenderedPageBreak/>
        <w:drawing>
          <wp:inline distT="0" distB="0" distL="0" distR="0">
            <wp:extent cx="6646545" cy="1950085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O-based (NR) segmentation.b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95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872" w:rsidRPr="00FF145E" w:rsidRDefault="00537872" w:rsidP="00537872">
      <w:pPr>
        <w:jc w:val="center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b/>
          <w:lang w:eastAsia="ko-KR"/>
        </w:rPr>
        <w:t>Figure 1</w:t>
      </w:r>
      <w:r w:rsidRPr="00FF145E">
        <w:rPr>
          <w:rFonts w:ascii="Arial" w:hAnsi="Arial" w:cs="Arial" w:hint="eastAsia"/>
          <w:b/>
          <w:lang w:eastAsia="ko-KR"/>
        </w:rPr>
        <w:t xml:space="preserve">. </w:t>
      </w:r>
      <w:r>
        <w:rPr>
          <w:rFonts w:ascii="Arial" w:hAnsi="Arial" w:cs="Arial" w:hint="eastAsia"/>
          <w:b/>
          <w:lang w:eastAsia="ko-KR"/>
        </w:rPr>
        <w:t>FI-based segmentation and SO-based resegmentation in LTE</w:t>
      </w:r>
    </w:p>
    <w:p w:rsidR="00663393" w:rsidRDefault="00AF74FA" w:rsidP="00561ACD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W</w:t>
      </w:r>
      <w:r w:rsidR="00AA4C0C">
        <w:rPr>
          <w:rFonts w:ascii="Arial" w:eastAsia="MS Mincho" w:hAnsi="Arial"/>
          <w:szCs w:val="24"/>
        </w:rPr>
        <w:t xml:space="preserve">e show </w:t>
      </w:r>
      <w:r w:rsidR="00DD6652">
        <w:rPr>
          <w:rFonts w:ascii="Arial" w:eastAsia="MS Mincho" w:hAnsi="Arial"/>
          <w:szCs w:val="24"/>
        </w:rPr>
        <w:t xml:space="preserve">an example header format about SO-based segmentation </w:t>
      </w:r>
      <w:r>
        <w:rPr>
          <w:rFonts w:ascii="Arial" w:eastAsia="MS Mincho" w:hAnsi="Arial"/>
          <w:szCs w:val="24"/>
        </w:rPr>
        <w:t>i</w:t>
      </w:r>
      <w:r w:rsidR="00AA4C0C">
        <w:rPr>
          <w:rFonts w:ascii="Arial" w:eastAsia="MS Mincho" w:hAnsi="Arial"/>
          <w:szCs w:val="24"/>
        </w:rPr>
        <w:t xml:space="preserve">n </w:t>
      </w:r>
      <w:r w:rsidR="00DD6652">
        <w:rPr>
          <w:rFonts w:ascii="Arial" w:eastAsia="MS Mincho" w:hAnsi="Arial"/>
          <w:szCs w:val="24"/>
        </w:rPr>
        <w:t>Table</w:t>
      </w:r>
      <w:r w:rsidR="00AA4C0C" w:rsidRPr="00AA4C0C">
        <w:rPr>
          <w:rFonts w:ascii="Arial" w:eastAsia="MS Mincho" w:hAnsi="Arial"/>
          <w:szCs w:val="24"/>
        </w:rPr>
        <w:t xml:space="preserve"> 2</w:t>
      </w:r>
      <w:r>
        <w:rPr>
          <w:rFonts w:ascii="Arial" w:eastAsia="MS Mincho" w:hAnsi="Arial"/>
          <w:szCs w:val="24"/>
        </w:rPr>
        <w:t xml:space="preserve"> and Figure 2 to show how SO-based segmentation works in NR. </w:t>
      </w:r>
      <w:r w:rsidRPr="00AF74FA">
        <w:rPr>
          <w:rFonts w:ascii="Arial" w:eastAsia="MS Mincho" w:hAnsi="Arial"/>
          <w:szCs w:val="24"/>
        </w:rPr>
        <w:t>The same size of segmented SDU with the previous LTE case</w:t>
      </w:r>
      <w:r>
        <w:rPr>
          <w:rFonts w:ascii="Arial" w:eastAsia="MS Mincho" w:hAnsi="Arial"/>
          <w:szCs w:val="24"/>
        </w:rPr>
        <w:t xml:space="preserve"> in Figure 1</w:t>
      </w:r>
      <w:r w:rsidRPr="00AF74FA">
        <w:rPr>
          <w:rFonts w:ascii="Arial" w:eastAsia="MS Mincho" w:hAnsi="Arial"/>
          <w:szCs w:val="24"/>
        </w:rPr>
        <w:t xml:space="preserve"> is assumed in the example. The figure shows that </w:t>
      </w:r>
      <w:r>
        <w:rPr>
          <w:rFonts w:ascii="Arial" w:eastAsia="MS Mincho" w:hAnsi="Arial"/>
          <w:szCs w:val="24"/>
        </w:rPr>
        <w:t>SO-based segmentation can</w:t>
      </w:r>
      <w:r w:rsidRPr="00AF74FA">
        <w:rPr>
          <w:rFonts w:ascii="Arial" w:eastAsia="MS Mincho" w:hAnsi="Arial"/>
          <w:szCs w:val="24"/>
        </w:rPr>
        <w:t xml:space="preserve"> perform the same level of segmentation </w:t>
      </w:r>
      <w:r>
        <w:rPr>
          <w:rFonts w:ascii="Arial" w:eastAsia="MS Mincho" w:hAnsi="Arial"/>
          <w:szCs w:val="24"/>
        </w:rPr>
        <w:t xml:space="preserve">as </w:t>
      </w:r>
      <w:r w:rsidRPr="00AF74FA">
        <w:rPr>
          <w:rFonts w:ascii="Arial" w:eastAsia="MS Mincho" w:hAnsi="Arial"/>
          <w:szCs w:val="24"/>
        </w:rPr>
        <w:t>LTE</w:t>
      </w:r>
      <w:r w:rsidR="00D6486D">
        <w:rPr>
          <w:rFonts w:ascii="Arial" w:eastAsia="MS Mincho" w:hAnsi="Arial"/>
          <w:szCs w:val="24"/>
        </w:rPr>
        <w:t>, h</w:t>
      </w:r>
      <w:r w:rsidRPr="00AF74FA">
        <w:rPr>
          <w:rFonts w:ascii="Arial" w:eastAsia="MS Mincho" w:hAnsi="Arial"/>
          <w:szCs w:val="24"/>
        </w:rPr>
        <w:t xml:space="preserve">owever, 2 Bytes of </w:t>
      </w:r>
      <w:r w:rsidR="00D6486D">
        <w:rPr>
          <w:rFonts w:ascii="Arial" w:eastAsia="MS Mincho" w:hAnsi="Arial"/>
          <w:szCs w:val="24"/>
        </w:rPr>
        <w:t>overhead</w:t>
      </w:r>
      <w:r w:rsidRPr="00AF74FA">
        <w:rPr>
          <w:rFonts w:ascii="Arial" w:eastAsia="MS Mincho" w:hAnsi="Arial"/>
          <w:szCs w:val="24"/>
        </w:rPr>
        <w:t xml:space="preserve"> will be added.</w:t>
      </w:r>
    </w:p>
    <w:tbl>
      <w:tblPr>
        <w:tblW w:w="3524" w:type="dxa"/>
        <w:jc w:val="center"/>
        <w:tblLook w:val="04A0" w:firstRow="1" w:lastRow="0" w:firstColumn="1" w:lastColumn="0" w:noHBand="0" w:noVBand="1"/>
      </w:tblPr>
      <w:tblGrid>
        <w:gridCol w:w="1262"/>
        <w:gridCol w:w="1131"/>
        <w:gridCol w:w="1131"/>
      </w:tblGrid>
      <w:tr w:rsidR="00537872" w:rsidRPr="00537872" w:rsidTr="00537872">
        <w:trPr>
          <w:trHeight w:val="330"/>
          <w:jc w:val="center"/>
        </w:trPr>
        <w:tc>
          <w:tcPr>
            <w:tcW w:w="12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Format</w:t>
            </w:r>
          </w:p>
        </w:tc>
        <w:tc>
          <w:tcPr>
            <w:tcW w:w="22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AMD PDU</w:t>
            </w:r>
          </w:p>
        </w:tc>
      </w:tr>
      <w:tr w:rsidR="00537872" w:rsidRPr="00537872" w:rsidTr="00537872">
        <w:trPr>
          <w:trHeight w:val="33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Field (bits)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10 bit SN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 bit SN</w:t>
            </w:r>
          </w:p>
        </w:tc>
      </w:tr>
      <w:tr w:rsidR="00537872" w:rsidRPr="00537872" w:rsidTr="00537872">
        <w:trPr>
          <w:trHeight w:val="315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D/C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537872" w:rsidRPr="00537872" w:rsidTr="0053787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RF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537872" w:rsidRPr="00537872" w:rsidTr="0053787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P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537872" w:rsidRPr="00537872" w:rsidTr="0053787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FI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0</w:t>
            </w:r>
          </w:p>
        </w:tc>
      </w:tr>
      <w:tr w:rsidR="00537872" w:rsidRPr="00537872" w:rsidTr="0053787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E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537872" w:rsidRPr="00537872" w:rsidTr="0053787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R1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3</w:t>
            </w:r>
          </w:p>
        </w:tc>
      </w:tr>
      <w:tr w:rsidR="00537872" w:rsidRPr="00537872" w:rsidTr="0053787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SN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</w:tr>
      <w:tr w:rsidR="00537872" w:rsidRPr="00537872" w:rsidTr="00537872">
        <w:trPr>
          <w:trHeight w:val="300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LSF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FF0000"/>
                <w:sz w:val="22"/>
                <w:szCs w:val="22"/>
                <w:lang w:val="en-US" w:eastAsia="zh-CN"/>
              </w:rPr>
              <w:t>1</w:t>
            </w:r>
          </w:p>
        </w:tc>
      </w:tr>
      <w:tr w:rsidR="00537872" w:rsidRPr="00537872" w:rsidTr="00537872">
        <w:trPr>
          <w:trHeight w:val="315"/>
          <w:jc w:val="center"/>
        </w:trPr>
        <w:tc>
          <w:tcPr>
            <w:tcW w:w="126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SO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</w:tr>
      <w:tr w:rsidR="00537872" w:rsidRPr="00537872" w:rsidTr="00537872">
        <w:trPr>
          <w:trHeight w:val="330"/>
          <w:jc w:val="center"/>
        </w:trPr>
        <w:tc>
          <w:tcPr>
            <w:tcW w:w="12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Total</w:t>
            </w:r>
          </w:p>
        </w:tc>
        <w:tc>
          <w:tcPr>
            <w:tcW w:w="113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7872" w:rsidRPr="00537872" w:rsidRDefault="00537872" w:rsidP="00537872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53787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 w:rsidR="00B1353B" w:rsidRPr="00FF145E" w:rsidRDefault="00B1353B" w:rsidP="00B1353B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Table 2</w:t>
      </w:r>
      <w:r w:rsidRPr="00FF145E">
        <w:rPr>
          <w:rFonts w:ascii="Arial" w:hAnsi="Arial" w:cs="Arial" w:hint="eastAsia"/>
          <w:b/>
          <w:lang w:eastAsia="ko-KR"/>
        </w:rPr>
        <w:t xml:space="preserve">. </w:t>
      </w:r>
      <w:r>
        <w:rPr>
          <w:rFonts w:ascii="Arial" w:hAnsi="Arial" w:cs="Arial"/>
          <w:b/>
          <w:lang w:eastAsia="ko-KR"/>
        </w:rPr>
        <w:t xml:space="preserve">NR </w:t>
      </w:r>
      <w:r w:rsidR="00BF7DE2">
        <w:rPr>
          <w:rFonts w:ascii="Arial" w:hAnsi="Arial" w:cs="Arial"/>
          <w:b/>
          <w:lang w:eastAsia="ko-KR"/>
        </w:rPr>
        <w:t>header</w:t>
      </w:r>
    </w:p>
    <w:p w:rsidR="001F69AB" w:rsidRDefault="009E3649" w:rsidP="009E3649">
      <w:pPr>
        <w:jc w:val="center"/>
        <w:rPr>
          <w:rFonts w:ascii="Arial" w:eastAsia="MS Mincho" w:hAnsi="Arial"/>
          <w:szCs w:val="24"/>
        </w:rPr>
      </w:pPr>
      <w:r>
        <w:rPr>
          <w:rFonts w:ascii="Arial" w:eastAsia="MS Mincho" w:hAnsi="Arial"/>
          <w:noProof/>
          <w:szCs w:val="24"/>
          <w:lang w:val="en-US"/>
        </w:rPr>
        <w:drawing>
          <wp:inline distT="0" distB="0" distL="0" distR="0">
            <wp:extent cx="6646545" cy="2178050"/>
            <wp:effectExtent l="0" t="0" r="190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O-based (NR) segmentation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17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9AB" w:rsidRPr="00FF145E" w:rsidRDefault="001F69AB" w:rsidP="001F69AB">
      <w:pPr>
        <w:jc w:val="center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b/>
          <w:lang w:eastAsia="ko-KR"/>
        </w:rPr>
        <w:t>Figure 2</w:t>
      </w:r>
      <w:r w:rsidRPr="00FF145E">
        <w:rPr>
          <w:rFonts w:ascii="Arial" w:hAnsi="Arial" w:cs="Arial" w:hint="eastAsia"/>
          <w:b/>
          <w:lang w:eastAsia="ko-KR"/>
        </w:rPr>
        <w:t xml:space="preserve">. </w:t>
      </w:r>
      <w:r>
        <w:rPr>
          <w:rFonts w:ascii="Arial" w:hAnsi="Arial" w:cs="Arial"/>
          <w:b/>
          <w:lang w:eastAsia="ko-KR"/>
        </w:rPr>
        <w:t>SO</w:t>
      </w:r>
      <w:r>
        <w:rPr>
          <w:rFonts w:ascii="Arial" w:hAnsi="Arial" w:cs="Arial" w:hint="eastAsia"/>
          <w:b/>
          <w:lang w:eastAsia="ko-KR"/>
        </w:rPr>
        <w:t xml:space="preserve">-based segmentation and resegmentation in </w:t>
      </w:r>
      <w:r>
        <w:rPr>
          <w:rFonts w:ascii="Arial" w:hAnsi="Arial" w:cs="Arial"/>
          <w:b/>
          <w:lang w:eastAsia="ko-KR"/>
        </w:rPr>
        <w:t>NR</w:t>
      </w:r>
    </w:p>
    <w:p w:rsidR="00460A8B" w:rsidRDefault="00460A8B" w:rsidP="00460A8B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We consider the fields in fixed header part which are listed in Table 1 &amp; 2. From the 2 Tables, extra 2 </w:t>
      </w:r>
      <w:r w:rsidR="002473DF">
        <w:rPr>
          <w:rFonts w:ascii="Arial" w:eastAsia="MS Mincho" w:hAnsi="Arial"/>
          <w:szCs w:val="24"/>
        </w:rPr>
        <w:t>b</w:t>
      </w:r>
      <w:r>
        <w:rPr>
          <w:rFonts w:ascii="Arial" w:eastAsia="MS Mincho" w:hAnsi="Arial"/>
          <w:szCs w:val="24"/>
        </w:rPr>
        <w:t>ytes</w:t>
      </w:r>
      <w:r w:rsidR="006B0F90">
        <w:rPr>
          <w:rFonts w:ascii="Arial" w:eastAsia="MS Mincho" w:hAnsi="Arial"/>
          <w:szCs w:val="24"/>
        </w:rPr>
        <w:t xml:space="preserve"> (16 bits)</w:t>
      </w:r>
      <w:r>
        <w:rPr>
          <w:rFonts w:ascii="Arial" w:eastAsia="MS Mincho" w:hAnsi="Arial"/>
          <w:szCs w:val="24"/>
        </w:rPr>
        <w:t xml:space="preserve"> overhead is observed </w:t>
      </w:r>
      <w:r w:rsidR="00DF0E53">
        <w:rPr>
          <w:rFonts w:ascii="Arial" w:eastAsia="MS Mincho" w:hAnsi="Arial"/>
          <w:szCs w:val="24"/>
        </w:rPr>
        <w:t>when</w:t>
      </w:r>
      <w:r w:rsidR="00DF0E53" w:rsidRPr="00DF0E53">
        <w:t xml:space="preserve"> </w:t>
      </w:r>
      <w:r w:rsidR="00DF0E53" w:rsidRPr="00DF0E53">
        <w:rPr>
          <w:rFonts w:ascii="Arial" w:eastAsia="MS Mincho" w:hAnsi="Arial"/>
          <w:szCs w:val="24"/>
        </w:rPr>
        <w:t>segmentation</w:t>
      </w:r>
      <w:r w:rsidR="00DF0E53">
        <w:rPr>
          <w:rFonts w:ascii="Arial" w:eastAsia="MS Mincho" w:hAnsi="Arial"/>
          <w:szCs w:val="24"/>
        </w:rPr>
        <w:t xml:space="preserve"> is performed</w:t>
      </w:r>
      <w:r>
        <w:rPr>
          <w:rFonts w:ascii="Arial" w:eastAsia="MS Mincho" w:hAnsi="Arial"/>
          <w:szCs w:val="24"/>
        </w:rPr>
        <w:t>.</w:t>
      </w:r>
    </w:p>
    <w:p w:rsidR="008A078A" w:rsidRDefault="00460A8B" w:rsidP="0021307E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b/>
          <w:szCs w:val="24"/>
        </w:rPr>
        <w:t>Observation 1</w:t>
      </w:r>
      <w:r w:rsidRPr="00943E29">
        <w:rPr>
          <w:rFonts w:ascii="Arial" w:eastAsia="MS Mincho" w:hAnsi="Arial"/>
          <w:b/>
          <w:szCs w:val="24"/>
        </w:rPr>
        <w:t xml:space="preserve">: </w:t>
      </w:r>
      <w:r w:rsidR="00DF0E53" w:rsidRPr="00DF0E53">
        <w:rPr>
          <w:rFonts w:ascii="Arial" w:eastAsia="MS Mincho" w:hAnsi="Arial"/>
          <w:b/>
          <w:szCs w:val="24"/>
        </w:rPr>
        <w:t xml:space="preserve">When segmentation is performed, 2 </w:t>
      </w:r>
      <w:r w:rsidR="002473DF">
        <w:rPr>
          <w:rFonts w:ascii="Arial" w:eastAsia="MS Mincho" w:hAnsi="Arial"/>
          <w:b/>
          <w:szCs w:val="24"/>
        </w:rPr>
        <w:t>b</w:t>
      </w:r>
      <w:r w:rsidR="00DF0E53" w:rsidRPr="00DF0E53">
        <w:rPr>
          <w:rFonts w:ascii="Arial" w:eastAsia="MS Mincho" w:hAnsi="Arial"/>
          <w:b/>
          <w:szCs w:val="24"/>
        </w:rPr>
        <w:t>ytes</w:t>
      </w:r>
      <w:r w:rsidR="00DF0E53">
        <w:rPr>
          <w:rFonts w:ascii="Arial" w:eastAsia="MS Mincho" w:hAnsi="Arial"/>
          <w:b/>
          <w:szCs w:val="24"/>
        </w:rPr>
        <w:t xml:space="preserve"> (16 bits)</w:t>
      </w:r>
      <w:r w:rsidR="00DF0E53" w:rsidRPr="00DF0E53">
        <w:rPr>
          <w:rFonts w:ascii="Arial" w:eastAsia="MS Mincho" w:hAnsi="Arial"/>
          <w:b/>
          <w:szCs w:val="24"/>
        </w:rPr>
        <w:t xml:space="preserve"> overhead is </w:t>
      </w:r>
      <w:r w:rsidRPr="00460A8B">
        <w:rPr>
          <w:rFonts w:ascii="Arial" w:eastAsia="MS Mincho" w:hAnsi="Arial"/>
          <w:b/>
          <w:szCs w:val="24"/>
        </w:rPr>
        <w:t>observed</w:t>
      </w:r>
      <w:r>
        <w:rPr>
          <w:rFonts w:ascii="Arial" w:eastAsia="MS Mincho" w:hAnsi="Arial"/>
          <w:b/>
          <w:szCs w:val="24"/>
        </w:rPr>
        <w:t xml:space="preserve"> in </w:t>
      </w:r>
      <w:r w:rsidRPr="00460A8B">
        <w:rPr>
          <w:rFonts w:ascii="Arial" w:eastAsia="MS Mincho" w:hAnsi="Arial"/>
          <w:b/>
          <w:szCs w:val="24"/>
        </w:rPr>
        <w:t>SO-based segmentation</w:t>
      </w:r>
      <w:r w:rsidR="00DF0E53">
        <w:rPr>
          <w:rFonts w:ascii="Arial" w:eastAsia="MS Mincho" w:hAnsi="Arial"/>
          <w:b/>
          <w:szCs w:val="24"/>
        </w:rPr>
        <w:t>.</w:t>
      </w:r>
    </w:p>
    <w:p w:rsidR="000B7A79" w:rsidRDefault="00460A8B" w:rsidP="0021307E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With the observation 1, we continue on overhead analysis. </w:t>
      </w:r>
      <w:r w:rsidR="006F7C36" w:rsidRPr="006F7C36">
        <w:rPr>
          <w:rFonts w:ascii="Arial" w:eastAsia="MS Mincho" w:hAnsi="Arial"/>
          <w:szCs w:val="24"/>
        </w:rPr>
        <w:t xml:space="preserve">We </w:t>
      </w:r>
      <w:r w:rsidR="00016723">
        <w:rPr>
          <w:rFonts w:ascii="Arial" w:eastAsia="MS Mincho" w:hAnsi="Arial"/>
          <w:szCs w:val="24"/>
        </w:rPr>
        <w:t xml:space="preserve">focus on the cases in low data rate and we </w:t>
      </w:r>
      <w:r w:rsidR="00016723" w:rsidRPr="00016723">
        <w:rPr>
          <w:rFonts w:ascii="Arial" w:eastAsia="MS Mincho" w:hAnsi="Arial"/>
          <w:szCs w:val="24"/>
        </w:rPr>
        <w:t>assume</w:t>
      </w:r>
      <w:r w:rsidR="00016723">
        <w:rPr>
          <w:rFonts w:ascii="Arial" w:eastAsia="MS Mincho" w:hAnsi="Arial"/>
          <w:szCs w:val="24"/>
        </w:rPr>
        <w:t xml:space="preserve"> </w:t>
      </w:r>
      <w:r w:rsidR="00016723" w:rsidRPr="00016723">
        <w:rPr>
          <w:rFonts w:ascii="Arial" w:eastAsia="MS Mincho" w:hAnsi="Arial"/>
          <w:szCs w:val="24"/>
        </w:rPr>
        <w:t>that there is always segmentation</w:t>
      </w:r>
      <w:r w:rsidR="000B7A79">
        <w:rPr>
          <w:rFonts w:ascii="Arial" w:eastAsia="MS Mincho" w:hAnsi="Arial"/>
          <w:szCs w:val="24"/>
        </w:rPr>
        <w:t xml:space="preserve"> in low data rate case</w:t>
      </w:r>
      <w:r w:rsidR="00016723" w:rsidRPr="00016723">
        <w:rPr>
          <w:rFonts w:ascii="Arial" w:eastAsia="MS Mincho" w:hAnsi="Arial"/>
          <w:szCs w:val="24"/>
        </w:rPr>
        <w:t xml:space="preserve">, so </w:t>
      </w:r>
      <w:r w:rsidR="00C774B1">
        <w:rPr>
          <w:rFonts w:ascii="Arial" w:eastAsia="MS Mincho" w:hAnsi="Arial"/>
          <w:szCs w:val="24"/>
        </w:rPr>
        <w:t xml:space="preserve">the </w:t>
      </w:r>
      <w:r w:rsidR="00016723" w:rsidRPr="00016723">
        <w:rPr>
          <w:rFonts w:ascii="Arial" w:eastAsia="MS Mincho" w:hAnsi="Arial"/>
          <w:szCs w:val="24"/>
        </w:rPr>
        <w:t xml:space="preserve">SO </w:t>
      </w:r>
      <w:r w:rsidR="00C774B1">
        <w:rPr>
          <w:rFonts w:ascii="Arial" w:eastAsia="MS Mincho" w:hAnsi="Arial"/>
          <w:szCs w:val="24"/>
        </w:rPr>
        <w:t>field is always present</w:t>
      </w:r>
      <w:r w:rsidR="000B7A79">
        <w:rPr>
          <w:rFonts w:ascii="Arial" w:eastAsia="MS Mincho" w:hAnsi="Arial"/>
          <w:szCs w:val="24"/>
        </w:rPr>
        <w:t xml:space="preserve"> in SO-based segmentation</w:t>
      </w:r>
      <w:r w:rsidR="00016723" w:rsidRPr="00016723">
        <w:rPr>
          <w:rFonts w:ascii="Arial" w:eastAsia="MS Mincho" w:hAnsi="Arial"/>
          <w:szCs w:val="24"/>
        </w:rPr>
        <w:t>.</w:t>
      </w:r>
      <w:r w:rsidR="000B7A79">
        <w:rPr>
          <w:rFonts w:ascii="Arial" w:eastAsia="MS Mincho" w:hAnsi="Arial"/>
          <w:szCs w:val="24"/>
        </w:rPr>
        <w:t xml:space="preserve"> We use </w:t>
      </w:r>
      <w:r w:rsidR="006F7C36" w:rsidRPr="006F7C36">
        <w:rPr>
          <w:rFonts w:ascii="Arial" w:eastAsia="MS Mincho" w:hAnsi="Arial"/>
          <w:szCs w:val="24"/>
        </w:rPr>
        <w:t>one RLC SDU for</w:t>
      </w:r>
      <w:r w:rsidR="000B7A79">
        <w:rPr>
          <w:rFonts w:ascii="Arial" w:eastAsia="MS Mincho" w:hAnsi="Arial"/>
          <w:szCs w:val="24"/>
        </w:rPr>
        <w:t xml:space="preserve"> overhead</w:t>
      </w:r>
      <w:r w:rsidR="006F7C36" w:rsidRPr="006F7C36">
        <w:rPr>
          <w:rFonts w:ascii="Arial" w:eastAsia="MS Mincho" w:hAnsi="Arial"/>
          <w:szCs w:val="24"/>
        </w:rPr>
        <w:t xml:space="preserve"> analysis.</w:t>
      </w:r>
    </w:p>
    <w:p w:rsidR="00453A96" w:rsidRDefault="00460A8B" w:rsidP="0021307E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lastRenderedPageBreak/>
        <w:t xml:space="preserve">The following figures are </w:t>
      </w:r>
      <w:r w:rsidR="002473DF">
        <w:rPr>
          <w:rFonts w:ascii="Arial" w:eastAsia="MS Mincho" w:hAnsi="Arial"/>
          <w:szCs w:val="24"/>
        </w:rPr>
        <w:t>for the o</w:t>
      </w:r>
      <w:r>
        <w:rPr>
          <w:rFonts w:ascii="Arial" w:eastAsia="MS Mincho" w:hAnsi="Arial"/>
          <w:szCs w:val="24"/>
        </w:rPr>
        <w:t xml:space="preserve">verhead ratio for </w:t>
      </w:r>
      <w:r w:rsidRPr="0075781A">
        <w:rPr>
          <w:rFonts w:ascii="Arial" w:eastAsia="MS Mincho" w:hAnsi="Arial"/>
          <w:szCs w:val="24"/>
        </w:rPr>
        <w:t>FI-based</w:t>
      </w:r>
      <w:r w:rsidR="00970175">
        <w:rPr>
          <w:rFonts w:ascii="Arial" w:eastAsia="MS Mincho" w:hAnsi="Arial"/>
          <w:szCs w:val="24"/>
        </w:rPr>
        <w:t xml:space="preserve"> (LTE)</w:t>
      </w:r>
      <w:r>
        <w:rPr>
          <w:rFonts w:ascii="Arial" w:eastAsia="MS Mincho" w:hAnsi="Arial"/>
          <w:szCs w:val="24"/>
        </w:rPr>
        <w:t xml:space="preserve"> </w:t>
      </w:r>
      <w:r w:rsidRPr="0075781A">
        <w:rPr>
          <w:rFonts w:ascii="Arial" w:eastAsia="MS Mincho" w:hAnsi="Arial"/>
          <w:szCs w:val="24"/>
        </w:rPr>
        <w:t>segmentation</w:t>
      </w:r>
      <w:r>
        <w:rPr>
          <w:rFonts w:ascii="Arial" w:eastAsia="MS Mincho" w:hAnsi="Arial"/>
          <w:szCs w:val="24"/>
        </w:rPr>
        <w:t xml:space="preserve"> and</w:t>
      </w:r>
      <w:r w:rsidRPr="0075781A">
        <w:rPr>
          <w:rFonts w:ascii="Arial" w:eastAsia="MS Mincho" w:hAnsi="Arial"/>
          <w:szCs w:val="24"/>
        </w:rPr>
        <w:t xml:space="preserve"> SO-based</w:t>
      </w:r>
      <w:r w:rsidR="00970175">
        <w:rPr>
          <w:rFonts w:ascii="Arial" w:eastAsia="MS Mincho" w:hAnsi="Arial"/>
          <w:szCs w:val="24"/>
        </w:rPr>
        <w:t xml:space="preserve"> (NR)</w:t>
      </w:r>
      <w:r w:rsidRPr="0075781A">
        <w:rPr>
          <w:rFonts w:ascii="Arial" w:eastAsia="MS Mincho" w:hAnsi="Arial"/>
          <w:szCs w:val="24"/>
        </w:rPr>
        <w:t xml:space="preserve"> segmentation</w:t>
      </w:r>
      <w:r w:rsidR="006B0F90">
        <w:rPr>
          <w:rFonts w:ascii="Arial" w:eastAsia="MS Mincho" w:hAnsi="Arial"/>
          <w:szCs w:val="24"/>
        </w:rPr>
        <w:t xml:space="preserve"> under different data rate</w:t>
      </w:r>
      <w:r w:rsidR="002473DF">
        <w:rPr>
          <w:rFonts w:ascii="Arial" w:eastAsia="MS Mincho" w:hAnsi="Arial"/>
          <w:szCs w:val="24"/>
        </w:rPr>
        <w:t>s</w:t>
      </w:r>
      <w:r>
        <w:rPr>
          <w:rFonts w:ascii="Arial" w:eastAsia="MS Mincho" w:hAnsi="Arial"/>
          <w:szCs w:val="24"/>
        </w:rPr>
        <w:t xml:space="preserve">. </w:t>
      </w:r>
      <w:r w:rsidR="00970175">
        <w:rPr>
          <w:rFonts w:ascii="Arial" w:eastAsia="MS Mincho" w:hAnsi="Arial"/>
          <w:szCs w:val="24"/>
        </w:rPr>
        <w:t>We assume that one TB is transmit</w:t>
      </w:r>
      <w:r w:rsidR="006B0F90">
        <w:rPr>
          <w:rFonts w:ascii="Arial" w:eastAsia="MS Mincho" w:hAnsi="Arial"/>
          <w:szCs w:val="24"/>
        </w:rPr>
        <w:t>t</w:t>
      </w:r>
      <w:r w:rsidR="00970175">
        <w:rPr>
          <w:rFonts w:ascii="Arial" w:eastAsia="MS Mincho" w:hAnsi="Arial"/>
          <w:szCs w:val="24"/>
        </w:rPr>
        <w:t>ed</w:t>
      </w:r>
      <w:r w:rsidR="00970175" w:rsidRPr="00970175">
        <w:rPr>
          <w:rFonts w:ascii="Arial" w:eastAsia="MS Mincho" w:hAnsi="Arial"/>
          <w:szCs w:val="24"/>
        </w:rPr>
        <w:t xml:space="preserve"> </w:t>
      </w:r>
      <w:r w:rsidR="00970175">
        <w:rPr>
          <w:rFonts w:ascii="Arial" w:eastAsia="MS Mincho" w:hAnsi="Arial"/>
          <w:szCs w:val="24"/>
        </w:rPr>
        <w:t>per</w:t>
      </w:r>
      <w:r w:rsidR="006B0F90">
        <w:rPr>
          <w:rFonts w:ascii="Arial" w:eastAsia="MS Mincho" w:hAnsi="Arial"/>
          <w:szCs w:val="24"/>
        </w:rPr>
        <w:t xml:space="preserve"> </w:t>
      </w:r>
      <w:r w:rsidR="00970175">
        <w:rPr>
          <w:rFonts w:ascii="Arial" w:eastAsia="MS Mincho" w:hAnsi="Arial"/>
          <w:szCs w:val="24"/>
        </w:rPr>
        <w:t>TTI, x-axis is</w:t>
      </w:r>
      <w:r w:rsidR="006B0F90">
        <w:rPr>
          <w:rFonts w:ascii="Arial" w:eastAsia="MS Mincho" w:hAnsi="Arial"/>
          <w:szCs w:val="24"/>
        </w:rPr>
        <w:t xml:space="preserve"> the</w:t>
      </w:r>
      <w:r w:rsidR="00970175">
        <w:rPr>
          <w:rFonts w:ascii="Arial" w:eastAsia="MS Mincho" w:hAnsi="Arial"/>
          <w:szCs w:val="24"/>
        </w:rPr>
        <w:t xml:space="preserve"> size of transmit</w:t>
      </w:r>
      <w:r w:rsidR="006B0F90">
        <w:rPr>
          <w:rFonts w:ascii="Arial" w:eastAsia="MS Mincho" w:hAnsi="Arial"/>
          <w:szCs w:val="24"/>
        </w:rPr>
        <w:t>t</w:t>
      </w:r>
      <w:r w:rsidR="00970175">
        <w:rPr>
          <w:rFonts w:ascii="Arial" w:eastAsia="MS Mincho" w:hAnsi="Arial"/>
          <w:szCs w:val="24"/>
        </w:rPr>
        <w:t>ed TB</w:t>
      </w:r>
      <w:r w:rsidR="002473DF">
        <w:rPr>
          <w:rFonts w:ascii="Arial" w:eastAsia="MS Mincho" w:hAnsi="Arial"/>
          <w:szCs w:val="24"/>
        </w:rPr>
        <w:t xml:space="preserve"> in bits</w:t>
      </w:r>
      <w:r w:rsidR="00970175">
        <w:rPr>
          <w:rFonts w:ascii="Arial" w:eastAsia="MS Mincho" w:hAnsi="Arial"/>
          <w:szCs w:val="24"/>
        </w:rPr>
        <w:t>.</w:t>
      </w:r>
    </w:p>
    <w:p w:rsidR="00453A96" w:rsidRDefault="00F30362" w:rsidP="00F30362">
      <w:pPr>
        <w:jc w:val="center"/>
        <w:rPr>
          <w:rFonts w:ascii="Arial" w:eastAsia="MS Mincho" w:hAnsi="Arial"/>
          <w:szCs w:val="24"/>
        </w:rPr>
      </w:pPr>
      <w:r>
        <w:rPr>
          <w:noProof/>
          <w:lang w:val="en-US"/>
        </w:rPr>
        <w:drawing>
          <wp:inline distT="0" distB="0" distL="0" distR="0" wp14:anchorId="07C0B1F8" wp14:editId="461E2074">
            <wp:extent cx="6646545" cy="3690620"/>
            <wp:effectExtent l="0" t="0" r="1905" b="508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E42B5" w:rsidRPr="00FF145E" w:rsidRDefault="004E42B5" w:rsidP="004E42B5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 1</w:t>
      </w:r>
      <w:r w:rsidRPr="00FF145E">
        <w:rPr>
          <w:rFonts w:ascii="Arial" w:hAnsi="Arial" w:cs="Arial" w:hint="eastAsia"/>
          <w:b/>
          <w:lang w:eastAsia="ko-KR"/>
        </w:rPr>
        <w:t xml:space="preserve">. </w:t>
      </w:r>
      <w:r>
        <w:rPr>
          <w:rFonts w:ascii="Arial" w:hAnsi="Arial" w:cs="Arial"/>
          <w:b/>
          <w:lang w:eastAsia="ko-KR"/>
        </w:rPr>
        <w:t xml:space="preserve">Overhead ratio for </w:t>
      </w:r>
      <w:r w:rsidRPr="004E42B5">
        <w:rPr>
          <w:rFonts w:ascii="Arial" w:hAnsi="Arial" w:cs="Arial"/>
          <w:b/>
          <w:lang w:eastAsia="ko-KR"/>
        </w:rPr>
        <w:t>FI-based (LTE) and SO-based (NR) segmentation when using 10 bit SN</w:t>
      </w:r>
    </w:p>
    <w:p w:rsidR="00B1353B" w:rsidRDefault="00F30362" w:rsidP="00F30362">
      <w:pPr>
        <w:jc w:val="center"/>
        <w:rPr>
          <w:rFonts w:ascii="Arial" w:eastAsia="MS Mincho" w:hAnsi="Arial"/>
          <w:szCs w:val="24"/>
        </w:rPr>
      </w:pPr>
      <w:r>
        <w:rPr>
          <w:noProof/>
          <w:lang w:val="en-US"/>
        </w:rPr>
        <w:drawing>
          <wp:inline distT="0" distB="0" distL="0" distR="0" wp14:anchorId="461F06BF" wp14:editId="694B6F62">
            <wp:extent cx="6646545" cy="3690620"/>
            <wp:effectExtent l="0" t="0" r="1905" b="50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E42B5" w:rsidRPr="00FF145E" w:rsidRDefault="004E42B5" w:rsidP="004E42B5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 2</w:t>
      </w:r>
      <w:r w:rsidRPr="00FF145E">
        <w:rPr>
          <w:rFonts w:ascii="Arial" w:hAnsi="Arial" w:cs="Arial" w:hint="eastAsia"/>
          <w:b/>
          <w:lang w:eastAsia="ko-KR"/>
        </w:rPr>
        <w:t xml:space="preserve">. </w:t>
      </w:r>
      <w:r>
        <w:rPr>
          <w:rFonts w:ascii="Arial" w:hAnsi="Arial" w:cs="Arial"/>
          <w:b/>
          <w:lang w:eastAsia="ko-KR"/>
        </w:rPr>
        <w:t xml:space="preserve">Overhead ratio for </w:t>
      </w:r>
      <w:r w:rsidRPr="004E42B5">
        <w:rPr>
          <w:rFonts w:ascii="Arial" w:hAnsi="Arial" w:cs="Arial"/>
          <w:b/>
          <w:lang w:eastAsia="ko-KR"/>
        </w:rPr>
        <w:t>FI-based (LTE) and SO-based (NR) segmentation when using 1</w:t>
      </w:r>
      <w:r>
        <w:rPr>
          <w:rFonts w:ascii="Arial" w:hAnsi="Arial" w:cs="Arial"/>
          <w:b/>
          <w:lang w:eastAsia="ko-KR"/>
        </w:rPr>
        <w:t>6</w:t>
      </w:r>
      <w:r w:rsidRPr="004E42B5">
        <w:rPr>
          <w:rFonts w:ascii="Arial" w:hAnsi="Arial" w:cs="Arial"/>
          <w:b/>
          <w:lang w:eastAsia="ko-KR"/>
        </w:rPr>
        <w:t xml:space="preserve"> bit SN</w:t>
      </w:r>
    </w:p>
    <w:p w:rsidR="00663393" w:rsidRDefault="006B0F90" w:rsidP="0021307E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The header part consumes fixed number of </w:t>
      </w:r>
      <w:r w:rsidR="002473DF">
        <w:rPr>
          <w:rFonts w:ascii="Arial" w:eastAsia="MS Mincho" w:hAnsi="Arial"/>
          <w:szCs w:val="24"/>
        </w:rPr>
        <w:t>b</w:t>
      </w:r>
      <w:r>
        <w:rPr>
          <w:rFonts w:ascii="Arial" w:eastAsia="MS Mincho" w:hAnsi="Arial"/>
          <w:szCs w:val="24"/>
        </w:rPr>
        <w:t xml:space="preserve">ytes in TB size. When data rate is lower, the </w:t>
      </w:r>
      <w:r w:rsidRPr="006B0F90">
        <w:rPr>
          <w:rFonts w:ascii="Arial" w:eastAsia="MS Mincho" w:hAnsi="Arial"/>
          <w:szCs w:val="24"/>
        </w:rPr>
        <w:t>percentage</w:t>
      </w:r>
      <w:r>
        <w:rPr>
          <w:rFonts w:ascii="Arial" w:eastAsia="MS Mincho" w:hAnsi="Arial"/>
          <w:szCs w:val="24"/>
        </w:rPr>
        <w:t xml:space="preserve"> of fixed header part becomes larger and the data payload part will be smaller. As the figures show, when data rate is very low (100 </w:t>
      </w:r>
      <w:r w:rsidR="002473DF">
        <w:rPr>
          <w:rFonts w:ascii="Arial" w:eastAsia="MS Mincho" w:hAnsi="Arial"/>
          <w:szCs w:val="24"/>
        </w:rPr>
        <w:t>Kbps</w:t>
      </w:r>
      <w:r>
        <w:rPr>
          <w:rFonts w:ascii="Arial" w:eastAsia="MS Mincho" w:hAnsi="Arial"/>
          <w:szCs w:val="24"/>
        </w:rPr>
        <w:t>), the difference</w:t>
      </w:r>
      <w:r w:rsidR="00DF76FD">
        <w:rPr>
          <w:rFonts w:ascii="Arial" w:eastAsia="MS Mincho" w:hAnsi="Arial"/>
          <w:szCs w:val="24"/>
        </w:rPr>
        <w:t xml:space="preserve"> of overhead ratio</w:t>
      </w:r>
      <w:r w:rsidR="005F4EA9">
        <w:rPr>
          <w:rFonts w:ascii="Arial" w:eastAsia="MS Mincho" w:hAnsi="Arial"/>
          <w:szCs w:val="24"/>
        </w:rPr>
        <w:t xml:space="preserve"> between </w:t>
      </w:r>
      <w:r w:rsidR="005F4EA9" w:rsidRPr="005F4EA9">
        <w:rPr>
          <w:rFonts w:ascii="Arial" w:eastAsia="MS Mincho" w:hAnsi="Arial"/>
          <w:szCs w:val="24"/>
        </w:rPr>
        <w:t>FI-based (LTE) and SO-based (NR) segmentation</w:t>
      </w:r>
      <w:r w:rsidR="005F4EA9">
        <w:rPr>
          <w:rFonts w:ascii="Arial" w:eastAsia="MS Mincho" w:hAnsi="Arial"/>
          <w:szCs w:val="24"/>
        </w:rPr>
        <w:t xml:space="preserve"> can up to 16%.</w:t>
      </w:r>
      <w:r w:rsidR="000C31D1">
        <w:rPr>
          <w:rFonts w:ascii="Arial" w:eastAsia="MS Mincho" w:hAnsi="Arial"/>
          <w:szCs w:val="24"/>
        </w:rPr>
        <w:t xml:space="preserve"> As data rate increases, the difference diminishes.</w:t>
      </w:r>
    </w:p>
    <w:p w:rsidR="00ED7A50" w:rsidRDefault="00ED7A50" w:rsidP="00ED7A50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 xml:space="preserve">Observation </w:t>
      </w:r>
      <w:r w:rsidR="005F4EA9">
        <w:rPr>
          <w:rFonts w:ascii="Arial" w:eastAsia="MS Mincho" w:hAnsi="Arial"/>
          <w:b/>
          <w:szCs w:val="24"/>
        </w:rPr>
        <w:t>2</w:t>
      </w:r>
      <w:r w:rsidRPr="00943E29">
        <w:rPr>
          <w:rFonts w:ascii="Arial" w:eastAsia="MS Mincho" w:hAnsi="Arial"/>
          <w:b/>
          <w:szCs w:val="24"/>
        </w:rPr>
        <w:t xml:space="preserve">: </w:t>
      </w:r>
      <w:r>
        <w:rPr>
          <w:rFonts w:ascii="Arial" w:eastAsia="MS Mincho" w:hAnsi="Arial"/>
          <w:b/>
          <w:szCs w:val="24"/>
        </w:rPr>
        <w:t>The overhead ratio can reach</w:t>
      </w:r>
      <w:r w:rsidR="00460A8B">
        <w:rPr>
          <w:rFonts w:ascii="Arial" w:eastAsia="MS Mincho" w:hAnsi="Arial"/>
          <w:b/>
          <w:szCs w:val="24"/>
        </w:rPr>
        <w:t xml:space="preserve"> up to</w:t>
      </w:r>
      <w:r>
        <w:rPr>
          <w:rFonts w:ascii="Arial" w:eastAsia="MS Mincho" w:hAnsi="Arial"/>
          <w:b/>
          <w:szCs w:val="24"/>
        </w:rPr>
        <w:t xml:space="preserve"> </w:t>
      </w:r>
      <w:r w:rsidR="00460A8B">
        <w:rPr>
          <w:rFonts w:ascii="Arial" w:eastAsia="MS Mincho" w:hAnsi="Arial"/>
          <w:b/>
          <w:szCs w:val="24"/>
        </w:rPr>
        <w:t xml:space="preserve">16% when data rate is very low (100 </w:t>
      </w:r>
      <w:r w:rsidR="002473DF">
        <w:rPr>
          <w:rFonts w:ascii="Arial" w:eastAsia="MS Mincho" w:hAnsi="Arial"/>
          <w:b/>
          <w:szCs w:val="24"/>
        </w:rPr>
        <w:t>Kbps</w:t>
      </w:r>
      <w:r w:rsidR="00460A8B">
        <w:rPr>
          <w:rFonts w:ascii="Arial" w:eastAsia="MS Mincho" w:hAnsi="Arial"/>
          <w:b/>
          <w:szCs w:val="24"/>
        </w:rPr>
        <w:t>),</w:t>
      </w:r>
      <w:r w:rsidR="00DF76FD">
        <w:rPr>
          <w:rFonts w:ascii="Arial" w:eastAsia="MS Mincho" w:hAnsi="Arial"/>
          <w:b/>
          <w:szCs w:val="24"/>
        </w:rPr>
        <w:t xml:space="preserve"> </w:t>
      </w:r>
      <w:r w:rsidR="00460A8B">
        <w:rPr>
          <w:rFonts w:ascii="Arial" w:eastAsia="MS Mincho" w:hAnsi="Arial"/>
          <w:b/>
          <w:szCs w:val="24"/>
        </w:rPr>
        <w:t>but the difference diminish</w:t>
      </w:r>
      <w:r w:rsidR="000C31D1">
        <w:rPr>
          <w:rFonts w:ascii="Arial" w:eastAsia="MS Mincho" w:hAnsi="Arial"/>
          <w:b/>
          <w:szCs w:val="24"/>
        </w:rPr>
        <w:t>es</w:t>
      </w:r>
      <w:r w:rsidR="00460A8B">
        <w:rPr>
          <w:rFonts w:ascii="Arial" w:eastAsia="MS Mincho" w:hAnsi="Arial"/>
          <w:b/>
          <w:szCs w:val="24"/>
        </w:rPr>
        <w:t xml:space="preserve"> as data rate increases.</w:t>
      </w:r>
    </w:p>
    <w:p w:rsidR="002473DF" w:rsidRDefault="002473DF" w:rsidP="009C5D6F">
      <w:pPr>
        <w:rPr>
          <w:rFonts w:ascii="Arial" w:eastAsia="MS Mincho" w:hAnsi="Arial"/>
          <w:szCs w:val="24"/>
        </w:rPr>
      </w:pPr>
      <w:r w:rsidRPr="002473DF">
        <w:rPr>
          <w:rFonts w:ascii="Arial" w:eastAsia="MS Mincho" w:hAnsi="Arial"/>
          <w:szCs w:val="24"/>
        </w:rPr>
        <w:lastRenderedPageBreak/>
        <w:t>Accordingly, we propose the following.</w:t>
      </w:r>
    </w:p>
    <w:p w:rsidR="009C5D6F" w:rsidRDefault="00DF76FD" w:rsidP="009C5D6F">
      <w:pPr>
        <w:rPr>
          <w:rFonts w:ascii="Arial" w:eastAsia="MS Mincho" w:hAnsi="Arial"/>
          <w:b/>
          <w:szCs w:val="24"/>
        </w:rPr>
      </w:pPr>
      <w:r w:rsidRPr="00DF76FD">
        <w:rPr>
          <w:rFonts w:ascii="Arial" w:eastAsia="MS Mincho" w:hAnsi="Arial"/>
          <w:b/>
          <w:szCs w:val="24"/>
        </w:rPr>
        <w:t xml:space="preserve">Proposal 1: </w:t>
      </w:r>
      <w:r w:rsidR="002473DF" w:rsidRPr="002473DF">
        <w:rPr>
          <w:rFonts w:ascii="Arial" w:eastAsia="MS Mincho" w:hAnsi="Arial"/>
          <w:b/>
          <w:szCs w:val="24"/>
        </w:rPr>
        <w:t>SO-based segmentation should not be used for low data rate case.</w:t>
      </w:r>
    </w:p>
    <w:p w:rsidR="002473DF" w:rsidRDefault="002473DF" w:rsidP="009C5D6F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Proposal 2</w:t>
      </w:r>
      <w:r w:rsidRPr="00DF76FD">
        <w:rPr>
          <w:rFonts w:ascii="Arial" w:eastAsia="MS Mincho" w:hAnsi="Arial"/>
          <w:b/>
          <w:szCs w:val="24"/>
        </w:rPr>
        <w:t>:</w:t>
      </w:r>
      <w:r w:rsidRPr="002473DF">
        <w:t xml:space="preserve"> </w:t>
      </w:r>
      <w:r w:rsidR="00EF442B">
        <w:rPr>
          <w:rFonts w:ascii="Arial" w:eastAsia="MS Mincho" w:hAnsi="Arial"/>
          <w:b/>
          <w:szCs w:val="24"/>
        </w:rPr>
        <w:t>RAN</w:t>
      </w:r>
      <w:r w:rsidRPr="002473DF">
        <w:rPr>
          <w:rFonts w:ascii="Arial" w:eastAsia="MS Mincho" w:hAnsi="Arial"/>
          <w:b/>
          <w:szCs w:val="24"/>
        </w:rPr>
        <w:t>2 is requested capture the overhead analysis and adopt Text Proposal in Section 4.</w:t>
      </w:r>
    </w:p>
    <w:p w:rsidR="000C31D1" w:rsidRDefault="000C31D1" w:rsidP="000206D5">
      <w:pPr>
        <w:rPr>
          <w:rFonts w:ascii="Arial" w:eastAsia="MS Mincho" w:hAnsi="Arial"/>
          <w:b/>
          <w:szCs w:val="24"/>
        </w:rPr>
      </w:pPr>
    </w:p>
    <w:p w:rsidR="006C2278" w:rsidRDefault="00B54573" w:rsidP="003E1898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A21903">
        <w:rPr>
          <w:lang w:val="en-US" w:eastAsia="ko-KR"/>
        </w:rPr>
        <w:t xml:space="preserve"> </w:t>
      </w:r>
      <w:r w:rsidR="007B611E">
        <w:rPr>
          <w:lang w:val="en-US" w:eastAsia="ko-KR"/>
        </w:rPr>
        <w:t>Conclusions</w:t>
      </w:r>
    </w:p>
    <w:p w:rsidR="00397013" w:rsidRDefault="00AD575A" w:rsidP="00AD3318">
      <w:pPr>
        <w:rPr>
          <w:rFonts w:ascii="Arial" w:eastAsia="MS Mincho" w:hAnsi="Arial"/>
          <w:szCs w:val="24"/>
        </w:rPr>
      </w:pPr>
      <w:r w:rsidRPr="002063D7">
        <w:rPr>
          <w:rFonts w:ascii="Arial" w:eastAsia="MS Mincho" w:hAnsi="Arial"/>
          <w:szCs w:val="24"/>
        </w:rPr>
        <w:t xml:space="preserve">In </w:t>
      </w:r>
      <w:r>
        <w:rPr>
          <w:rFonts w:ascii="Arial" w:eastAsia="MS Mincho" w:hAnsi="Arial"/>
          <w:szCs w:val="24"/>
        </w:rPr>
        <w:t xml:space="preserve">this contribution, we discuss the </w:t>
      </w:r>
      <w:r w:rsidR="00881B74">
        <w:rPr>
          <w:rFonts w:ascii="Arial" w:eastAsia="MS Mincho" w:hAnsi="Arial"/>
          <w:szCs w:val="24"/>
        </w:rPr>
        <w:t xml:space="preserve">overhead </w:t>
      </w:r>
      <w:r>
        <w:rPr>
          <w:rFonts w:ascii="Arial" w:eastAsia="MS Mincho" w:hAnsi="Arial"/>
          <w:szCs w:val="24"/>
        </w:rPr>
        <w:t xml:space="preserve">issue of </w:t>
      </w:r>
      <w:r w:rsidR="00881B74">
        <w:rPr>
          <w:rFonts w:ascii="Arial" w:eastAsia="MS Mincho" w:hAnsi="Arial"/>
          <w:szCs w:val="24"/>
        </w:rPr>
        <w:t xml:space="preserve">SO-based </w:t>
      </w:r>
      <w:r w:rsidR="00DD5FC2">
        <w:rPr>
          <w:rFonts w:ascii="Arial" w:eastAsia="MS Mincho" w:hAnsi="Arial"/>
          <w:szCs w:val="24"/>
        </w:rPr>
        <w:t>segmentation for NR UP.</w:t>
      </w:r>
      <w:r w:rsidR="00881B74">
        <w:rPr>
          <w:rFonts w:ascii="Arial" w:eastAsia="MS Mincho" w:hAnsi="Arial"/>
          <w:szCs w:val="24"/>
        </w:rPr>
        <w:t xml:space="preserve"> Our observations</w:t>
      </w:r>
      <w:r w:rsidR="00097BD0">
        <w:rPr>
          <w:rFonts w:ascii="Arial" w:eastAsia="MS Mincho" w:hAnsi="Arial"/>
          <w:szCs w:val="24"/>
        </w:rPr>
        <w:t xml:space="preserve"> and proposal</w:t>
      </w:r>
      <w:r w:rsidR="002473DF">
        <w:rPr>
          <w:rFonts w:ascii="Arial" w:eastAsia="MS Mincho" w:hAnsi="Arial"/>
          <w:szCs w:val="24"/>
        </w:rPr>
        <w:t>s</w:t>
      </w:r>
      <w:r w:rsidR="00881B74">
        <w:rPr>
          <w:rFonts w:ascii="Arial" w:eastAsia="MS Mincho" w:hAnsi="Arial"/>
          <w:szCs w:val="24"/>
        </w:rPr>
        <w:t xml:space="preserve"> </w:t>
      </w:r>
      <w:r w:rsidR="00DD5FC2">
        <w:rPr>
          <w:rFonts w:ascii="Arial" w:eastAsia="MS Mincho" w:hAnsi="Arial"/>
          <w:szCs w:val="24"/>
        </w:rPr>
        <w:t>are summarized below.</w:t>
      </w:r>
    </w:p>
    <w:p w:rsidR="00DF76FD" w:rsidRPr="00DF76FD" w:rsidRDefault="00DF76FD" w:rsidP="00DF76FD">
      <w:pPr>
        <w:rPr>
          <w:rFonts w:ascii="Arial" w:eastAsia="MS Mincho" w:hAnsi="Arial"/>
          <w:b/>
          <w:szCs w:val="24"/>
        </w:rPr>
      </w:pPr>
      <w:r w:rsidRPr="00DF76FD">
        <w:rPr>
          <w:rFonts w:ascii="Arial" w:eastAsia="MS Mincho" w:hAnsi="Arial"/>
          <w:b/>
          <w:szCs w:val="24"/>
        </w:rPr>
        <w:t>Observation 1: When segmentation is performed, 2 Bytes (16 bits) overhead is observed in SO-based segmentation.</w:t>
      </w:r>
    </w:p>
    <w:p w:rsidR="000060F2" w:rsidRDefault="000060F2" w:rsidP="000060F2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Observation 2</w:t>
      </w:r>
      <w:r w:rsidRPr="00943E29">
        <w:rPr>
          <w:rFonts w:ascii="Arial" w:eastAsia="MS Mincho" w:hAnsi="Arial"/>
          <w:b/>
          <w:szCs w:val="24"/>
        </w:rPr>
        <w:t xml:space="preserve">: </w:t>
      </w:r>
      <w:r>
        <w:rPr>
          <w:rFonts w:ascii="Arial" w:eastAsia="MS Mincho" w:hAnsi="Arial"/>
          <w:b/>
          <w:szCs w:val="24"/>
        </w:rPr>
        <w:t>The overhead ratio can reach up to 16% when data rate is very low (100 Kbps), but the difference diminishes as data rate increases.</w:t>
      </w:r>
    </w:p>
    <w:p w:rsidR="002473DF" w:rsidRPr="002473DF" w:rsidRDefault="002473DF" w:rsidP="002473DF">
      <w:pPr>
        <w:rPr>
          <w:rFonts w:ascii="Arial" w:eastAsia="MS Mincho" w:hAnsi="Arial"/>
          <w:b/>
          <w:szCs w:val="24"/>
        </w:rPr>
      </w:pPr>
      <w:r w:rsidRPr="002473DF">
        <w:rPr>
          <w:rFonts w:ascii="Arial" w:eastAsia="MS Mincho" w:hAnsi="Arial"/>
          <w:b/>
          <w:szCs w:val="24"/>
        </w:rPr>
        <w:t>Proposal 1: SO-based segmentation should not be used for low data rate case.</w:t>
      </w:r>
    </w:p>
    <w:p w:rsidR="001B3606" w:rsidRDefault="00EF442B" w:rsidP="00705523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Proposal 2: RAN</w:t>
      </w:r>
      <w:r w:rsidR="002473DF" w:rsidRPr="002473DF">
        <w:rPr>
          <w:rFonts w:ascii="Arial" w:eastAsia="MS Mincho" w:hAnsi="Arial"/>
          <w:b/>
          <w:szCs w:val="24"/>
        </w:rPr>
        <w:t>2 is requested capture the overhead analysis and adopt Text Proposal in Section 4.</w:t>
      </w:r>
    </w:p>
    <w:p w:rsidR="00881B74" w:rsidRDefault="00881B74" w:rsidP="00881B74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4 </w:t>
      </w:r>
      <w:r w:rsidRPr="00881B74">
        <w:rPr>
          <w:lang w:val="en-US" w:eastAsia="ko-KR"/>
        </w:rPr>
        <w:t>Text proposal</w:t>
      </w:r>
    </w:p>
    <w:p w:rsidR="00881B74" w:rsidRDefault="00881B74" w:rsidP="00881B74">
      <w:pPr>
        <w:pStyle w:val="Heading9"/>
        <w:rPr>
          <w:lang w:eastAsia="ja-JP"/>
        </w:rPr>
      </w:pPr>
      <w:r>
        <w:rPr>
          <w:rFonts w:hint="eastAsia"/>
          <w:lang w:eastAsia="ja-JP"/>
        </w:rPr>
        <w:t>Annex B:</w:t>
      </w:r>
      <w:r>
        <w:rPr>
          <w:lang w:eastAsia="ja-JP"/>
        </w:rPr>
        <w:br/>
      </w:r>
      <w:r>
        <w:rPr>
          <w:rFonts w:hint="eastAsia"/>
          <w:lang w:eastAsia="ja-JP"/>
        </w:rPr>
        <w:t>Summary of Layer 2 functional changes from LTE</w:t>
      </w:r>
    </w:p>
    <w:p w:rsidR="00881B74" w:rsidRDefault="00881B74" w:rsidP="00881B74">
      <w:pPr>
        <w:pStyle w:val="Heading2"/>
        <w:rPr>
          <w:lang w:eastAsia="ja-JP"/>
        </w:rPr>
      </w:pPr>
      <w:r>
        <w:rPr>
          <w:rFonts w:hint="eastAsia"/>
          <w:lang w:eastAsia="ja-JP"/>
        </w:rPr>
        <w:t>B.1</w:t>
      </w:r>
      <w:r>
        <w:rPr>
          <w:rFonts w:hint="eastAsia"/>
          <w:lang w:eastAsia="ja-JP"/>
        </w:rPr>
        <w:tab/>
      </w:r>
      <w:r w:rsidRPr="00DA3219">
        <w:t xml:space="preserve">Rationale behind </w:t>
      </w:r>
      <w:r>
        <w:rPr>
          <w:rFonts w:hint="eastAsia"/>
          <w:lang w:eastAsia="ja-JP"/>
        </w:rPr>
        <w:t>SO based segmentation</w:t>
      </w:r>
    </w:p>
    <w:p w:rsidR="00A34CE4" w:rsidRDefault="00A34CE4" w:rsidP="00A34CE4">
      <w:pPr>
        <w:rPr>
          <w:lang w:eastAsia="ja-JP"/>
        </w:rPr>
      </w:pPr>
      <w:r w:rsidRPr="00A34CE4">
        <w:rPr>
          <w:lang w:eastAsia="ja-JP"/>
        </w:rPr>
        <w:t xml:space="preserve">For SO-based </w:t>
      </w:r>
      <w:r w:rsidR="00C774B1" w:rsidRPr="00A34CE4">
        <w:rPr>
          <w:lang w:eastAsia="ja-JP"/>
        </w:rPr>
        <w:t>segmentation</w:t>
      </w:r>
      <w:r w:rsidRPr="00A34CE4">
        <w:rPr>
          <w:lang w:eastAsia="ja-JP"/>
        </w:rPr>
        <w:t>, significant overhe</w:t>
      </w:r>
      <w:r>
        <w:rPr>
          <w:lang w:eastAsia="ja-JP"/>
        </w:rPr>
        <w:t xml:space="preserve">ad is observed at low data </w:t>
      </w:r>
      <w:r w:rsidR="002473DF" w:rsidRPr="002473DF">
        <w:rPr>
          <w:lang w:eastAsia="ja-JP"/>
        </w:rPr>
        <w:t>rates as shown in Figure X and Figure Y.</w:t>
      </w:r>
    </w:p>
    <w:p w:rsidR="00A34CE4" w:rsidRDefault="00A34CE4" w:rsidP="00A34CE4">
      <w:pPr>
        <w:jc w:val="center"/>
        <w:rPr>
          <w:rFonts w:ascii="Arial" w:eastAsia="MS Mincho" w:hAnsi="Arial"/>
          <w:szCs w:val="24"/>
        </w:rPr>
      </w:pPr>
      <w:r>
        <w:rPr>
          <w:noProof/>
          <w:lang w:val="en-US"/>
        </w:rPr>
        <w:drawing>
          <wp:inline distT="0" distB="0" distL="0" distR="0" wp14:anchorId="7D8D5A23" wp14:editId="1A6D8CBE">
            <wp:extent cx="6646545" cy="3690620"/>
            <wp:effectExtent l="0" t="0" r="1905" b="508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34CE4" w:rsidRPr="00FF145E" w:rsidRDefault="00A34CE4" w:rsidP="00A34CE4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 X</w:t>
      </w:r>
      <w:r w:rsidRPr="00FF145E">
        <w:rPr>
          <w:rFonts w:ascii="Arial" w:hAnsi="Arial" w:cs="Arial" w:hint="eastAsia"/>
          <w:b/>
          <w:lang w:eastAsia="ko-KR"/>
        </w:rPr>
        <w:t xml:space="preserve">. </w:t>
      </w:r>
      <w:r>
        <w:rPr>
          <w:rFonts w:ascii="Arial" w:hAnsi="Arial" w:cs="Arial"/>
          <w:b/>
          <w:lang w:eastAsia="ko-KR"/>
        </w:rPr>
        <w:t xml:space="preserve">Overhead ratio for </w:t>
      </w:r>
      <w:r w:rsidRPr="004E42B5">
        <w:rPr>
          <w:rFonts w:ascii="Arial" w:hAnsi="Arial" w:cs="Arial"/>
          <w:b/>
          <w:lang w:eastAsia="ko-KR"/>
        </w:rPr>
        <w:t>FI-based (LTE) and SO-based (NR) segmentation when using 10 bit SN</w:t>
      </w:r>
    </w:p>
    <w:p w:rsidR="00A34CE4" w:rsidRDefault="00A34CE4" w:rsidP="00A34CE4">
      <w:pPr>
        <w:jc w:val="center"/>
        <w:rPr>
          <w:rFonts w:ascii="Arial" w:eastAsia="MS Mincho" w:hAnsi="Arial"/>
          <w:szCs w:val="24"/>
        </w:rPr>
      </w:pPr>
      <w:r>
        <w:rPr>
          <w:noProof/>
          <w:lang w:val="en-US"/>
        </w:rPr>
        <w:lastRenderedPageBreak/>
        <w:drawing>
          <wp:inline distT="0" distB="0" distL="0" distR="0" wp14:anchorId="3BD114C7" wp14:editId="0AD3DEE3">
            <wp:extent cx="6646545" cy="3690620"/>
            <wp:effectExtent l="0" t="0" r="1905" b="508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34CE4" w:rsidRPr="00FF145E" w:rsidRDefault="00A34CE4" w:rsidP="00A34CE4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Figure </w:t>
      </w:r>
      <w:r w:rsidR="002473DF">
        <w:rPr>
          <w:rFonts w:ascii="Arial" w:hAnsi="Arial" w:cs="Arial"/>
          <w:b/>
          <w:lang w:eastAsia="ko-KR"/>
        </w:rPr>
        <w:t>Y</w:t>
      </w:r>
      <w:r w:rsidRPr="00FF145E">
        <w:rPr>
          <w:rFonts w:ascii="Arial" w:hAnsi="Arial" w:cs="Arial" w:hint="eastAsia"/>
          <w:b/>
          <w:lang w:eastAsia="ko-KR"/>
        </w:rPr>
        <w:t xml:space="preserve">. </w:t>
      </w:r>
      <w:r>
        <w:rPr>
          <w:rFonts w:ascii="Arial" w:hAnsi="Arial" w:cs="Arial"/>
          <w:b/>
          <w:lang w:eastAsia="ko-KR"/>
        </w:rPr>
        <w:t xml:space="preserve">Overhead ratio for </w:t>
      </w:r>
      <w:r w:rsidRPr="004E42B5">
        <w:rPr>
          <w:rFonts w:ascii="Arial" w:hAnsi="Arial" w:cs="Arial"/>
          <w:b/>
          <w:lang w:eastAsia="ko-KR"/>
        </w:rPr>
        <w:t>FI-based (LTE) and SO-based (NR) segmentation when using 1</w:t>
      </w:r>
      <w:r>
        <w:rPr>
          <w:rFonts w:ascii="Arial" w:hAnsi="Arial" w:cs="Arial"/>
          <w:b/>
          <w:lang w:eastAsia="ko-KR"/>
        </w:rPr>
        <w:t>6</w:t>
      </w:r>
      <w:r w:rsidRPr="004E42B5">
        <w:rPr>
          <w:rFonts w:ascii="Arial" w:hAnsi="Arial" w:cs="Arial"/>
          <w:b/>
          <w:lang w:eastAsia="ko-KR"/>
        </w:rPr>
        <w:t xml:space="preserve"> bit SN</w:t>
      </w:r>
    </w:p>
    <w:p w:rsidR="00881B74" w:rsidRDefault="00881B74" w:rsidP="00881B74">
      <w:pPr>
        <w:rPr>
          <w:lang w:eastAsia="ja-JP"/>
        </w:rPr>
      </w:pPr>
      <w:r w:rsidRPr="00FC46A8">
        <w:rPr>
          <w:i/>
          <w:iCs/>
          <w:color w:val="FF0000"/>
          <w:highlight w:val="yellow"/>
        </w:rPr>
        <w:t>Editor’s note:</w:t>
      </w:r>
      <w:r w:rsidRPr="00FC46A8">
        <w:rPr>
          <w:i/>
          <w:iCs/>
          <w:color w:val="FF0000"/>
          <w:highlight w:val="yellow"/>
        </w:rPr>
        <w:tab/>
        <w:t>At least overhead for the low data rate case should be analysed further.</w:t>
      </w:r>
    </w:p>
    <w:p w:rsidR="00EF622C" w:rsidRDefault="001B3606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4</w:t>
      </w:r>
      <w:r w:rsidR="00EF622C">
        <w:rPr>
          <w:lang w:val="en-US" w:eastAsia="ko-KR"/>
        </w:rPr>
        <w:t xml:space="preserve"> References</w:t>
      </w:r>
    </w:p>
    <w:p w:rsidR="007F12B1" w:rsidRDefault="00702293" w:rsidP="000206D5">
      <w:pPr>
        <w:pStyle w:val="ListParagraph"/>
        <w:numPr>
          <w:ilvl w:val="0"/>
          <w:numId w:val="21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3" w:name="_Ref458604852"/>
      <w:bookmarkStart w:id="4" w:name="_Ref447035248"/>
      <w:bookmarkStart w:id="5" w:name="_Ref450578472"/>
      <w:r>
        <w:rPr>
          <w:rFonts w:ascii="Arial" w:hAnsi="Arial" w:cs="Arial"/>
          <w:sz w:val="20"/>
          <w:szCs w:val="20"/>
          <w:lang w:eastAsia="ko-KR"/>
        </w:rPr>
        <w:t>R2-16</w:t>
      </w:r>
      <w:r w:rsidR="000206D5">
        <w:rPr>
          <w:rFonts w:ascii="Arial" w:hAnsi="Arial" w:cs="Arial"/>
          <w:sz w:val="20"/>
          <w:szCs w:val="20"/>
          <w:lang w:eastAsia="ko-KR"/>
        </w:rPr>
        <w:t>7322</w:t>
      </w:r>
      <w:r>
        <w:rPr>
          <w:rFonts w:ascii="Arial" w:hAnsi="Arial" w:cs="Arial"/>
          <w:sz w:val="20"/>
          <w:szCs w:val="20"/>
          <w:lang w:eastAsia="ko-KR"/>
        </w:rPr>
        <w:t xml:space="preserve">, </w:t>
      </w:r>
      <w:r w:rsidR="000206D5" w:rsidRPr="000206D5">
        <w:rPr>
          <w:rFonts w:ascii="Arial" w:hAnsi="Arial" w:cs="Arial"/>
          <w:sz w:val="20"/>
          <w:szCs w:val="20"/>
          <w:lang w:eastAsia="ko-KR"/>
        </w:rPr>
        <w:t>Text Proposal to TR 38.804 on Layer 2 functions for NR, NTT DOCOMO, INC.</w:t>
      </w:r>
      <w:bookmarkEnd w:id="3"/>
      <w:bookmarkEnd w:id="4"/>
      <w:bookmarkEnd w:id="5"/>
    </w:p>
    <w:p w:rsidR="001F5C43" w:rsidRDefault="001F5C43" w:rsidP="000206D5">
      <w:pPr>
        <w:pStyle w:val="ListParagraph"/>
        <w:numPr>
          <w:ilvl w:val="0"/>
          <w:numId w:val="21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6" w:name="_Ref461549264"/>
      <w:r>
        <w:rPr>
          <w:rFonts w:ascii="Arial" w:hAnsi="Arial" w:cs="Arial"/>
          <w:sz w:val="20"/>
          <w:szCs w:val="20"/>
          <w:lang w:eastAsia="ko-KR"/>
        </w:rPr>
        <w:t>R2-16</w:t>
      </w:r>
      <w:r w:rsidR="000206D5">
        <w:rPr>
          <w:rFonts w:ascii="Arial" w:hAnsi="Arial" w:cs="Arial"/>
          <w:sz w:val="20"/>
          <w:szCs w:val="20"/>
          <w:lang w:eastAsia="ko-KR"/>
        </w:rPr>
        <w:t>6511</w:t>
      </w:r>
      <w:r>
        <w:rPr>
          <w:rFonts w:ascii="Arial" w:hAnsi="Arial" w:cs="Arial"/>
          <w:sz w:val="20"/>
          <w:szCs w:val="20"/>
          <w:lang w:eastAsia="ko-KR"/>
        </w:rPr>
        <w:t xml:space="preserve">, </w:t>
      </w:r>
      <w:r w:rsidR="000206D5" w:rsidRPr="000206D5">
        <w:rPr>
          <w:rFonts w:ascii="Arial" w:hAnsi="Arial" w:cs="Arial"/>
          <w:sz w:val="20"/>
          <w:szCs w:val="20"/>
          <w:lang w:eastAsia="ko-KR"/>
        </w:rPr>
        <w:t>Segment Offset-based Segmentation for NR, Samsung</w:t>
      </w:r>
      <w:bookmarkEnd w:id="6"/>
    </w:p>
    <w:sectPr w:rsidR="001F5C43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D81" w:rsidRDefault="00444D81">
      <w:r>
        <w:separator/>
      </w:r>
    </w:p>
  </w:endnote>
  <w:endnote w:type="continuationSeparator" w:id="0">
    <w:p w:rsidR="00444D81" w:rsidRDefault="00444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D81" w:rsidRDefault="00444D81">
      <w:r>
        <w:separator/>
      </w:r>
    </w:p>
  </w:footnote>
  <w:footnote w:type="continuationSeparator" w:id="0">
    <w:p w:rsidR="00444D81" w:rsidRDefault="00444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9B3A1B"/>
    <w:multiLevelType w:val="hybridMultilevel"/>
    <w:tmpl w:val="03C4B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A2072"/>
    <w:multiLevelType w:val="hybridMultilevel"/>
    <w:tmpl w:val="9786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5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9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5"/>
  </w:num>
  <w:num w:numId="3">
    <w:abstractNumId w:val="15"/>
  </w:num>
  <w:num w:numId="4">
    <w:abstractNumId w:val="7"/>
  </w:num>
  <w:num w:numId="5">
    <w:abstractNumId w:val="39"/>
  </w:num>
  <w:num w:numId="6">
    <w:abstractNumId w:val="25"/>
  </w:num>
  <w:num w:numId="7">
    <w:abstractNumId w:val="22"/>
  </w:num>
  <w:num w:numId="8">
    <w:abstractNumId w:val="10"/>
  </w:num>
  <w:num w:numId="9">
    <w:abstractNumId w:val="29"/>
  </w:num>
  <w:num w:numId="10">
    <w:abstractNumId w:val="11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2"/>
  </w:num>
  <w:num w:numId="16">
    <w:abstractNumId w:val="36"/>
  </w:num>
  <w:num w:numId="17">
    <w:abstractNumId w:val="20"/>
  </w:num>
  <w:num w:numId="18">
    <w:abstractNumId w:val="37"/>
  </w:num>
  <w:num w:numId="19">
    <w:abstractNumId w:val="33"/>
  </w:num>
  <w:num w:numId="20">
    <w:abstractNumId w:val="16"/>
  </w:num>
  <w:num w:numId="21">
    <w:abstractNumId w:val="0"/>
  </w:num>
  <w:num w:numId="22">
    <w:abstractNumId w:val="21"/>
  </w:num>
  <w:num w:numId="23">
    <w:abstractNumId w:val="8"/>
  </w:num>
  <w:num w:numId="24">
    <w:abstractNumId w:val="17"/>
  </w:num>
  <w:num w:numId="25">
    <w:abstractNumId w:val="2"/>
  </w:num>
  <w:num w:numId="26">
    <w:abstractNumId w:val="23"/>
  </w:num>
  <w:num w:numId="27">
    <w:abstractNumId w:val="38"/>
  </w:num>
  <w:num w:numId="28">
    <w:abstractNumId w:val="24"/>
  </w:num>
  <w:num w:numId="29">
    <w:abstractNumId w:val="31"/>
  </w:num>
  <w:num w:numId="30">
    <w:abstractNumId w:val="28"/>
  </w:num>
  <w:num w:numId="31">
    <w:abstractNumId w:val="19"/>
  </w:num>
  <w:num w:numId="32">
    <w:abstractNumId w:val="14"/>
  </w:num>
  <w:num w:numId="33">
    <w:abstractNumId w:val="26"/>
  </w:num>
  <w:num w:numId="34">
    <w:abstractNumId w:val="13"/>
  </w:num>
  <w:num w:numId="35">
    <w:abstractNumId w:val="6"/>
  </w:num>
  <w:num w:numId="36">
    <w:abstractNumId w:val="1"/>
  </w:num>
  <w:num w:numId="37">
    <w:abstractNumId w:val="27"/>
  </w:num>
  <w:num w:numId="38">
    <w:abstractNumId w:val="5"/>
  </w:num>
  <w:num w:numId="39">
    <w:abstractNumId w:val="18"/>
  </w:num>
  <w:num w:numId="40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60F2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723"/>
    <w:rsid w:val="00016C2D"/>
    <w:rsid w:val="00016D38"/>
    <w:rsid w:val="000171C2"/>
    <w:rsid w:val="00017628"/>
    <w:rsid w:val="000206D5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AE3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37329"/>
    <w:rsid w:val="00041034"/>
    <w:rsid w:val="00042602"/>
    <w:rsid w:val="0004283B"/>
    <w:rsid w:val="000429FF"/>
    <w:rsid w:val="00043031"/>
    <w:rsid w:val="000434CF"/>
    <w:rsid w:val="000435CB"/>
    <w:rsid w:val="00043990"/>
    <w:rsid w:val="00045286"/>
    <w:rsid w:val="0004535F"/>
    <w:rsid w:val="00045B75"/>
    <w:rsid w:val="00046193"/>
    <w:rsid w:val="000466DA"/>
    <w:rsid w:val="0004696C"/>
    <w:rsid w:val="00046B2C"/>
    <w:rsid w:val="00047D19"/>
    <w:rsid w:val="0005060F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5128"/>
    <w:rsid w:val="000758A5"/>
    <w:rsid w:val="00075F67"/>
    <w:rsid w:val="00076D65"/>
    <w:rsid w:val="00077746"/>
    <w:rsid w:val="0008019C"/>
    <w:rsid w:val="00080B6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3DAE"/>
    <w:rsid w:val="00094840"/>
    <w:rsid w:val="00096800"/>
    <w:rsid w:val="00097BD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B7A79"/>
    <w:rsid w:val="000C00BC"/>
    <w:rsid w:val="000C0FCB"/>
    <w:rsid w:val="000C2021"/>
    <w:rsid w:val="000C31D1"/>
    <w:rsid w:val="000C372D"/>
    <w:rsid w:val="000C39A0"/>
    <w:rsid w:val="000C4614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C11"/>
    <w:rsid w:val="000E025B"/>
    <w:rsid w:val="000E063E"/>
    <w:rsid w:val="000E10D7"/>
    <w:rsid w:val="000E190A"/>
    <w:rsid w:val="000E2DD5"/>
    <w:rsid w:val="000E2FE6"/>
    <w:rsid w:val="000E3C08"/>
    <w:rsid w:val="000E4059"/>
    <w:rsid w:val="000E576C"/>
    <w:rsid w:val="000E670D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03E1"/>
    <w:rsid w:val="00120A9F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E53"/>
    <w:rsid w:val="00150068"/>
    <w:rsid w:val="00150A4E"/>
    <w:rsid w:val="001538A4"/>
    <w:rsid w:val="00153CEE"/>
    <w:rsid w:val="00154B94"/>
    <w:rsid w:val="001555D7"/>
    <w:rsid w:val="00156A1A"/>
    <w:rsid w:val="00156DB3"/>
    <w:rsid w:val="001573F9"/>
    <w:rsid w:val="00157560"/>
    <w:rsid w:val="001605E8"/>
    <w:rsid w:val="00163241"/>
    <w:rsid w:val="0016427F"/>
    <w:rsid w:val="00167588"/>
    <w:rsid w:val="00167FC4"/>
    <w:rsid w:val="0017209C"/>
    <w:rsid w:val="00172F10"/>
    <w:rsid w:val="00173394"/>
    <w:rsid w:val="00175528"/>
    <w:rsid w:val="001757E5"/>
    <w:rsid w:val="00176899"/>
    <w:rsid w:val="00176C26"/>
    <w:rsid w:val="00176D07"/>
    <w:rsid w:val="00183903"/>
    <w:rsid w:val="00184D44"/>
    <w:rsid w:val="00184F44"/>
    <w:rsid w:val="00185AA3"/>
    <w:rsid w:val="00186027"/>
    <w:rsid w:val="001861C3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606"/>
    <w:rsid w:val="001B3873"/>
    <w:rsid w:val="001B5FB6"/>
    <w:rsid w:val="001B6C8C"/>
    <w:rsid w:val="001B6EC3"/>
    <w:rsid w:val="001B7764"/>
    <w:rsid w:val="001C227D"/>
    <w:rsid w:val="001C4139"/>
    <w:rsid w:val="001C4279"/>
    <w:rsid w:val="001C5548"/>
    <w:rsid w:val="001C56C4"/>
    <w:rsid w:val="001D14B9"/>
    <w:rsid w:val="001D1750"/>
    <w:rsid w:val="001D18C0"/>
    <w:rsid w:val="001D1C03"/>
    <w:rsid w:val="001D3B68"/>
    <w:rsid w:val="001D7A4B"/>
    <w:rsid w:val="001E22CA"/>
    <w:rsid w:val="001E238F"/>
    <w:rsid w:val="001E2A1F"/>
    <w:rsid w:val="001E32EB"/>
    <w:rsid w:val="001E39D1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5C43"/>
    <w:rsid w:val="001F63E0"/>
    <w:rsid w:val="001F69AB"/>
    <w:rsid w:val="001F7559"/>
    <w:rsid w:val="001F7C6C"/>
    <w:rsid w:val="002000A7"/>
    <w:rsid w:val="00200246"/>
    <w:rsid w:val="00200270"/>
    <w:rsid w:val="0020113E"/>
    <w:rsid w:val="00201E7A"/>
    <w:rsid w:val="0020265E"/>
    <w:rsid w:val="002030CF"/>
    <w:rsid w:val="00203ECF"/>
    <w:rsid w:val="00204404"/>
    <w:rsid w:val="00204ACF"/>
    <w:rsid w:val="002063D7"/>
    <w:rsid w:val="00206547"/>
    <w:rsid w:val="00211BC8"/>
    <w:rsid w:val="00212C42"/>
    <w:rsid w:val="0021307E"/>
    <w:rsid w:val="002135F1"/>
    <w:rsid w:val="00213889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1C9E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412AD"/>
    <w:rsid w:val="002422F3"/>
    <w:rsid w:val="00242C69"/>
    <w:rsid w:val="00243F66"/>
    <w:rsid w:val="002446BD"/>
    <w:rsid w:val="00246EED"/>
    <w:rsid w:val="002473DF"/>
    <w:rsid w:val="00250CCE"/>
    <w:rsid w:val="00251AF4"/>
    <w:rsid w:val="002526CA"/>
    <w:rsid w:val="00252DEF"/>
    <w:rsid w:val="00253172"/>
    <w:rsid w:val="00253575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1A6C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7BD2"/>
    <w:rsid w:val="002E08D7"/>
    <w:rsid w:val="002E223D"/>
    <w:rsid w:val="002E2245"/>
    <w:rsid w:val="002E2C7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5E12"/>
    <w:rsid w:val="002F71C4"/>
    <w:rsid w:val="002F7598"/>
    <w:rsid w:val="002F787B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043E"/>
    <w:rsid w:val="00351105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497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BF5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2A05"/>
    <w:rsid w:val="003D420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F0316"/>
    <w:rsid w:val="003F0FD0"/>
    <w:rsid w:val="003F1B5D"/>
    <w:rsid w:val="003F245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10D2"/>
    <w:rsid w:val="004117B4"/>
    <w:rsid w:val="004119BD"/>
    <w:rsid w:val="00412269"/>
    <w:rsid w:val="00412526"/>
    <w:rsid w:val="00412E96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576A"/>
    <w:rsid w:val="004406BC"/>
    <w:rsid w:val="004423FA"/>
    <w:rsid w:val="004435E2"/>
    <w:rsid w:val="00444939"/>
    <w:rsid w:val="00444D81"/>
    <w:rsid w:val="00444E7E"/>
    <w:rsid w:val="00446A61"/>
    <w:rsid w:val="00446BC2"/>
    <w:rsid w:val="00447317"/>
    <w:rsid w:val="00451D52"/>
    <w:rsid w:val="00452B50"/>
    <w:rsid w:val="00452FA4"/>
    <w:rsid w:val="0045306C"/>
    <w:rsid w:val="00453A96"/>
    <w:rsid w:val="00454A01"/>
    <w:rsid w:val="00454A24"/>
    <w:rsid w:val="00454F53"/>
    <w:rsid w:val="00456B60"/>
    <w:rsid w:val="00460075"/>
    <w:rsid w:val="00460A8B"/>
    <w:rsid w:val="004633C5"/>
    <w:rsid w:val="004636E9"/>
    <w:rsid w:val="00463BBF"/>
    <w:rsid w:val="00465089"/>
    <w:rsid w:val="004656DF"/>
    <w:rsid w:val="0046682C"/>
    <w:rsid w:val="00467CFD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100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0C69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E42B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929"/>
    <w:rsid w:val="00501FBB"/>
    <w:rsid w:val="00503219"/>
    <w:rsid w:val="005032E6"/>
    <w:rsid w:val="0050338F"/>
    <w:rsid w:val="00503519"/>
    <w:rsid w:val="005036A4"/>
    <w:rsid w:val="00503842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5621"/>
    <w:rsid w:val="00537872"/>
    <w:rsid w:val="00537CEF"/>
    <w:rsid w:val="0054099C"/>
    <w:rsid w:val="00540F93"/>
    <w:rsid w:val="0054171E"/>
    <w:rsid w:val="00542904"/>
    <w:rsid w:val="00543D4E"/>
    <w:rsid w:val="00547CFA"/>
    <w:rsid w:val="00550B2B"/>
    <w:rsid w:val="005515B3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11A0"/>
    <w:rsid w:val="00561ACD"/>
    <w:rsid w:val="005629F7"/>
    <w:rsid w:val="00562CAE"/>
    <w:rsid w:val="0056367A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688F"/>
    <w:rsid w:val="00597EF1"/>
    <w:rsid w:val="005A01B7"/>
    <w:rsid w:val="005A05F9"/>
    <w:rsid w:val="005A0737"/>
    <w:rsid w:val="005A0A18"/>
    <w:rsid w:val="005A0BF3"/>
    <w:rsid w:val="005A0FA9"/>
    <w:rsid w:val="005A1E9C"/>
    <w:rsid w:val="005A316E"/>
    <w:rsid w:val="005A448F"/>
    <w:rsid w:val="005A4A8D"/>
    <w:rsid w:val="005A5CA8"/>
    <w:rsid w:val="005A5DE3"/>
    <w:rsid w:val="005A6086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3C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4EA9"/>
    <w:rsid w:val="005F64F6"/>
    <w:rsid w:val="005F6BD3"/>
    <w:rsid w:val="005F6DED"/>
    <w:rsid w:val="005F6E25"/>
    <w:rsid w:val="005F759F"/>
    <w:rsid w:val="005F7D19"/>
    <w:rsid w:val="00600497"/>
    <w:rsid w:val="00600F12"/>
    <w:rsid w:val="006025F1"/>
    <w:rsid w:val="00603574"/>
    <w:rsid w:val="0060471B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05E9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5D95"/>
    <w:rsid w:val="0065777C"/>
    <w:rsid w:val="00657A1C"/>
    <w:rsid w:val="00661084"/>
    <w:rsid w:val="00661721"/>
    <w:rsid w:val="00662440"/>
    <w:rsid w:val="00662ED6"/>
    <w:rsid w:val="0066329A"/>
    <w:rsid w:val="00663393"/>
    <w:rsid w:val="00663CF1"/>
    <w:rsid w:val="006647D0"/>
    <w:rsid w:val="00666DC3"/>
    <w:rsid w:val="00670442"/>
    <w:rsid w:val="00670DE7"/>
    <w:rsid w:val="00670EDD"/>
    <w:rsid w:val="00671B57"/>
    <w:rsid w:val="00673984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7324"/>
    <w:rsid w:val="0068797A"/>
    <w:rsid w:val="00690277"/>
    <w:rsid w:val="0069085C"/>
    <w:rsid w:val="00692DD0"/>
    <w:rsid w:val="006932E0"/>
    <w:rsid w:val="0069388E"/>
    <w:rsid w:val="006939BD"/>
    <w:rsid w:val="00693C62"/>
    <w:rsid w:val="006940E2"/>
    <w:rsid w:val="0069451C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AE7"/>
    <w:rsid w:val="006A6FFB"/>
    <w:rsid w:val="006A7B9A"/>
    <w:rsid w:val="006B0749"/>
    <w:rsid w:val="006B0778"/>
    <w:rsid w:val="006B0F4F"/>
    <w:rsid w:val="006B0F90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89B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81"/>
    <w:rsid w:val="006D7776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C36"/>
    <w:rsid w:val="0070003C"/>
    <w:rsid w:val="00702293"/>
    <w:rsid w:val="00703DB1"/>
    <w:rsid w:val="00705077"/>
    <w:rsid w:val="00705523"/>
    <w:rsid w:val="007065DB"/>
    <w:rsid w:val="0070678D"/>
    <w:rsid w:val="00706B66"/>
    <w:rsid w:val="007075B1"/>
    <w:rsid w:val="00707E49"/>
    <w:rsid w:val="00710AF0"/>
    <w:rsid w:val="00711BE5"/>
    <w:rsid w:val="007121C0"/>
    <w:rsid w:val="00713901"/>
    <w:rsid w:val="00713A0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06"/>
    <w:rsid w:val="0074002C"/>
    <w:rsid w:val="007409C8"/>
    <w:rsid w:val="00741425"/>
    <w:rsid w:val="00741C03"/>
    <w:rsid w:val="007421B2"/>
    <w:rsid w:val="00742BF6"/>
    <w:rsid w:val="00743674"/>
    <w:rsid w:val="00745D78"/>
    <w:rsid w:val="00750949"/>
    <w:rsid w:val="007515FC"/>
    <w:rsid w:val="00751ECA"/>
    <w:rsid w:val="00753622"/>
    <w:rsid w:val="0075461B"/>
    <w:rsid w:val="007546CE"/>
    <w:rsid w:val="00756033"/>
    <w:rsid w:val="0075613A"/>
    <w:rsid w:val="0075711F"/>
    <w:rsid w:val="007577A6"/>
    <w:rsid w:val="0075781A"/>
    <w:rsid w:val="00760095"/>
    <w:rsid w:val="007608F9"/>
    <w:rsid w:val="007622F5"/>
    <w:rsid w:val="0076274E"/>
    <w:rsid w:val="00765A0B"/>
    <w:rsid w:val="00765F08"/>
    <w:rsid w:val="00766C48"/>
    <w:rsid w:val="00767088"/>
    <w:rsid w:val="0077029E"/>
    <w:rsid w:val="007740D2"/>
    <w:rsid w:val="00775ACC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22C4"/>
    <w:rsid w:val="00793D14"/>
    <w:rsid w:val="00793ECD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BA6"/>
    <w:rsid w:val="007A182F"/>
    <w:rsid w:val="007A1A3C"/>
    <w:rsid w:val="007A2029"/>
    <w:rsid w:val="007A205B"/>
    <w:rsid w:val="007A2327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697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1048"/>
    <w:rsid w:val="007E12F1"/>
    <w:rsid w:val="007E2365"/>
    <w:rsid w:val="007E313B"/>
    <w:rsid w:val="007E3F84"/>
    <w:rsid w:val="007E4B30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7D6A"/>
    <w:rsid w:val="007F7EBF"/>
    <w:rsid w:val="00800157"/>
    <w:rsid w:val="0080041B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C21"/>
    <w:rsid w:val="00823070"/>
    <w:rsid w:val="0082387D"/>
    <w:rsid w:val="00824971"/>
    <w:rsid w:val="00824B3E"/>
    <w:rsid w:val="00824C9C"/>
    <w:rsid w:val="00825EFC"/>
    <w:rsid w:val="00827B95"/>
    <w:rsid w:val="00830397"/>
    <w:rsid w:val="00830A62"/>
    <w:rsid w:val="00830FB4"/>
    <w:rsid w:val="00831DCB"/>
    <w:rsid w:val="00834051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6ADF"/>
    <w:rsid w:val="00876D6B"/>
    <w:rsid w:val="00876FE4"/>
    <w:rsid w:val="00877AD5"/>
    <w:rsid w:val="00877C8B"/>
    <w:rsid w:val="00881B74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78A"/>
    <w:rsid w:val="008A08EA"/>
    <w:rsid w:val="008A24C7"/>
    <w:rsid w:val="008A27A5"/>
    <w:rsid w:val="008A2876"/>
    <w:rsid w:val="008A3280"/>
    <w:rsid w:val="008A3DB4"/>
    <w:rsid w:val="008A4ECD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74D5"/>
    <w:rsid w:val="008B7542"/>
    <w:rsid w:val="008C16B1"/>
    <w:rsid w:val="008C1F54"/>
    <w:rsid w:val="008C3008"/>
    <w:rsid w:val="008C3624"/>
    <w:rsid w:val="008C4224"/>
    <w:rsid w:val="008C4876"/>
    <w:rsid w:val="008C49E5"/>
    <w:rsid w:val="008C4E21"/>
    <w:rsid w:val="008C604E"/>
    <w:rsid w:val="008C6059"/>
    <w:rsid w:val="008D090D"/>
    <w:rsid w:val="008D1114"/>
    <w:rsid w:val="008D189E"/>
    <w:rsid w:val="008D2451"/>
    <w:rsid w:val="008D2DD1"/>
    <w:rsid w:val="008D3788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1BA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8E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211C"/>
    <w:rsid w:val="00924747"/>
    <w:rsid w:val="00924B25"/>
    <w:rsid w:val="009253FF"/>
    <w:rsid w:val="009305E9"/>
    <w:rsid w:val="009313D0"/>
    <w:rsid w:val="009313FD"/>
    <w:rsid w:val="00931509"/>
    <w:rsid w:val="00933091"/>
    <w:rsid w:val="00933E40"/>
    <w:rsid w:val="00935C58"/>
    <w:rsid w:val="009364A6"/>
    <w:rsid w:val="00937253"/>
    <w:rsid w:val="0094120A"/>
    <w:rsid w:val="00941428"/>
    <w:rsid w:val="00941D27"/>
    <w:rsid w:val="00941EB7"/>
    <w:rsid w:val="00943A3B"/>
    <w:rsid w:val="00943E29"/>
    <w:rsid w:val="00944915"/>
    <w:rsid w:val="00945015"/>
    <w:rsid w:val="00946650"/>
    <w:rsid w:val="00946F6D"/>
    <w:rsid w:val="00946FF3"/>
    <w:rsid w:val="0095190A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0175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6859"/>
    <w:rsid w:val="0098749A"/>
    <w:rsid w:val="009908B4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1EE"/>
    <w:rsid w:val="009B6ECF"/>
    <w:rsid w:val="009C0630"/>
    <w:rsid w:val="009C106F"/>
    <w:rsid w:val="009C11B6"/>
    <w:rsid w:val="009C129F"/>
    <w:rsid w:val="009C3D94"/>
    <w:rsid w:val="009C3E13"/>
    <w:rsid w:val="009C415C"/>
    <w:rsid w:val="009C59D4"/>
    <w:rsid w:val="009C5D6F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739B"/>
    <w:rsid w:val="009D7FE4"/>
    <w:rsid w:val="009E2AE1"/>
    <w:rsid w:val="009E3297"/>
    <w:rsid w:val="009E33A6"/>
    <w:rsid w:val="009E3649"/>
    <w:rsid w:val="009E3CDD"/>
    <w:rsid w:val="009F09A7"/>
    <w:rsid w:val="009F22C4"/>
    <w:rsid w:val="009F2EA4"/>
    <w:rsid w:val="009F701B"/>
    <w:rsid w:val="00A005AA"/>
    <w:rsid w:val="00A00A37"/>
    <w:rsid w:val="00A024CC"/>
    <w:rsid w:val="00A04298"/>
    <w:rsid w:val="00A0504A"/>
    <w:rsid w:val="00A051DE"/>
    <w:rsid w:val="00A05A51"/>
    <w:rsid w:val="00A0669C"/>
    <w:rsid w:val="00A07159"/>
    <w:rsid w:val="00A072D5"/>
    <w:rsid w:val="00A106B6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4CE4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4E6"/>
    <w:rsid w:val="00A53EF7"/>
    <w:rsid w:val="00A540C6"/>
    <w:rsid w:val="00A54BED"/>
    <w:rsid w:val="00A55B59"/>
    <w:rsid w:val="00A5639D"/>
    <w:rsid w:val="00A6194C"/>
    <w:rsid w:val="00A62C58"/>
    <w:rsid w:val="00A62DF6"/>
    <w:rsid w:val="00A63E45"/>
    <w:rsid w:val="00A6530D"/>
    <w:rsid w:val="00A65522"/>
    <w:rsid w:val="00A65C34"/>
    <w:rsid w:val="00A66EBA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4A2A"/>
    <w:rsid w:val="00A877CF"/>
    <w:rsid w:val="00A90726"/>
    <w:rsid w:val="00A9073E"/>
    <w:rsid w:val="00A90A2A"/>
    <w:rsid w:val="00A92401"/>
    <w:rsid w:val="00A936CB"/>
    <w:rsid w:val="00A93A24"/>
    <w:rsid w:val="00A94FA6"/>
    <w:rsid w:val="00A95728"/>
    <w:rsid w:val="00A963A4"/>
    <w:rsid w:val="00A9641D"/>
    <w:rsid w:val="00A96F4B"/>
    <w:rsid w:val="00A97F47"/>
    <w:rsid w:val="00AA0425"/>
    <w:rsid w:val="00AA0722"/>
    <w:rsid w:val="00AA1373"/>
    <w:rsid w:val="00AA2718"/>
    <w:rsid w:val="00AA2C51"/>
    <w:rsid w:val="00AA35EF"/>
    <w:rsid w:val="00AA4C0C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21E3"/>
    <w:rsid w:val="00AC3007"/>
    <w:rsid w:val="00AC3513"/>
    <w:rsid w:val="00AC3F5B"/>
    <w:rsid w:val="00AC43FD"/>
    <w:rsid w:val="00AC4452"/>
    <w:rsid w:val="00AC49B0"/>
    <w:rsid w:val="00AC5B07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FFD"/>
    <w:rsid w:val="00AE43E2"/>
    <w:rsid w:val="00AE4BB5"/>
    <w:rsid w:val="00AE4C6E"/>
    <w:rsid w:val="00AE4CE9"/>
    <w:rsid w:val="00AE4F4F"/>
    <w:rsid w:val="00AE5E8F"/>
    <w:rsid w:val="00AE6388"/>
    <w:rsid w:val="00AE72DE"/>
    <w:rsid w:val="00AF07DE"/>
    <w:rsid w:val="00AF135B"/>
    <w:rsid w:val="00AF1FAF"/>
    <w:rsid w:val="00AF4E16"/>
    <w:rsid w:val="00AF4FEA"/>
    <w:rsid w:val="00AF564E"/>
    <w:rsid w:val="00AF5E54"/>
    <w:rsid w:val="00AF6A14"/>
    <w:rsid w:val="00AF74FA"/>
    <w:rsid w:val="00B01093"/>
    <w:rsid w:val="00B019A1"/>
    <w:rsid w:val="00B01FF6"/>
    <w:rsid w:val="00B03B48"/>
    <w:rsid w:val="00B03F36"/>
    <w:rsid w:val="00B03FD5"/>
    <w:rsid w:val="00B04494"/>
    <w:rsid w:val="00B0477D"/>
    <w:rsid w:val="00B05AD8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53B"/>
    <w:rsid w:val="00B13859"/>
    <w:rsid w:val="00B15317"/>
    <w:rsid w:val="00B20234"/>
    <w:rsid w:val="00B2175E"/>
    <w:rsid w:val="00B21BAA"/>
    <w:rsid w:val="00B23BE2"/>
    <w:rsid w:val="00B23EDD"/>
    <w:rsid w:val="00B23EEB"/>
    <w:rsid w:val="00B244E4"/>
    <w:rsid w:val="00B24E6A"/>
    <w:rsid w:val="00B258BB"/>
    <w:rsid w:val="00B26521"/>
    <w:rsid w:val="00B26908"/>
    <w:rsid w:val="00B26F92"/>
    <w:rsid w:val="00B279C1"/>
    <w:rsid w:val="00B30222"/>
    <w:rsid w:val="00B30787"/>
    <w:rsid w:val="00B30E1E"/>
    <w:rsid w:val="00B31E63"/>
    <w:rsid w:val="00B32438"/>
    <w:rsid w:val="00B32FFD"/>
    <w:rsid w:val="00B33ADA"/>
    <w:rsid w:val="00B33EFD"/>
    <w:rsid w:val="00B342DA"/>
    <w:rsid w:val="00B36C7C"/>
    <w:rsid w:val="00B40474"/>
    <w:rsid w:val="00B40C58"/>
    <w:rsid w:val="00B43B2A"/>
    <w:rsid w:val="00B43CE5"/>
    <w:rsid w:val="00B44EA5"/>
    <w:rsid w:val="00B455AD"/>
    <w:rsid w:val="00B456D9"/>
    <w:rsid w:val="00B45A40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8DE"/>
    <w:rsid w:val="00B575FD"/>
    <w:rsid w:val="00B60132"/>
    <w:rsid w:val="00B60630"/>
    <w:rsid w:val="00B611CD"/>
    <w:rsid w:val="00B61654"/>
    <w:rsid w:val="00B62725"/>
    <w:rsid w:val="00B63156"/>
    <w:rsid w:val="00B63655"/>
    <w:rsid w:val="00B640A0"/>
    <w:rsid w:val="00B64799"/>
    <w:rsid w:val="00B64995"/>
    <w:rsid w:val="00B65A4C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77827"/>
    <w:rsid w:val="00B8042E"/>
    <w:rsid w:val="00B81D26"/>
    <w:rsid w:val="00B82348"/>
    <w:rsid w:val="00B8364F"/>
    <w:rsid w:val="00B839CD"/>
    <w:rsid w:val="00B848FF"/>
    <w:rsid w:val="00B85082"/>
    <w:rsid w:val="00B86AFA"/>
    <w:rsid w:val="00B902E7"/>
    <w:rsid w:val="00B90900"/>
    <w:rsid w:val="00B90A51"/>
    <w:rsid w:val="00B913AA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4A2A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793"/>
    <w:rsid w:val="00BD38B0"/>
    <w:rsid w:val="00BD3AB1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BF7DE2"/>
    <w:rsid w:val="00C0113F"/>
    <w:rsid w:val="00C01664"/>
    <w:rsid w:val="00C0169C"/>
    <w:rsid w:val="00C01A29"/>
    <w:rsid w:val="00C02C18"/>
    <w:rsid w:val="00C032CC"/>
    <w:rsid w:val="00C03785"/>
    <w:rsid w:val="00C0387C"/>
    <w:rsid w:val="00C1017A"/>
    <w:rsid w:val="00C13FA5"/>
    <w:rsid w:val="00C1511D"/>
    <w:rsid w:val="00C151BB"/>
    <w:rsid w:val="00C15240"/>
    <w:rsid w:val="00C156B3"/>
    <w:rsid w:val="00C15CFB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371FF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DD1"/>
    <w:rsid w:val="00C51F11"/>
    <w:rsid w:val="00C52358"/>
    <w:rsid w:val="00C52F22"/>
    <w:rsid w:val="00C53B3F"/>
    <w:rsid w:val="00C53F2D"/>
    <w:rsid w:val="00C5492B"/>
    <w:rsid w:val="00C54DC9"/>
    <w:rsid w:val="00C55B50"/>
    <w:rsid w:val="00C56527"/>
    <w:rsid w:val="00C56528"/>
    <w:rsid w:val="00C57D14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774B1"/>
    <w:rsid w:val="00C80496"/>
    <w:rsid w:val="00C807E7"/>
    <w:rsid w:val="00C813D9"/>
    <w:rsid w:val="00C82C55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36B"/>
    <w:rsid w:val="00CA2EA4"/>
    <w:rsid w:val="00CA36CF"/>
    <w:rsid w:val="00CA4383"/>
    <w:rsid w:val="00CA47C2"/>
    <w:rsid w:val="00CA6497"/>
    <w:rsid w:val="00CB0416"/>
    <w:rsid w:val="00CB0877"/>
    <w:rsid w:val="00CB21AA"/>
    <w:rsid w:val="00CB25EF"/>
    <w:rsid w:val="00CB356B"/>
    <w:rsid w:val="00CB36C6"/>
    <w:rsid w:val="00CB66DF"/>
    <w:rsid w:val="00CB7FAE"/>
    <w:rsid w:val="00CC1549"/>
    <w:rsid w:val="00CC3A2D"/>
    <w:rsid w:val="00CC41CE"/>
    <w:rsid w:val="00CC422A"/>
    <w:rsid w:val="00CC49E7"/>
    <w:rsid w:val="00CC5026"/>
    <w:rsid w:val="00CC5740"/>
    <w:rsid w:val="00CC729F"/>
    <w:rsid w:val="00CC7C84"/>
    <w:rsid w:val="00CD11C0"/>
    <w:rsid w:val="00CD1510"/>
    <w:rsid w:val="00CD2658"/>
    <w:rsid w:val="00CD54BF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36B"/>
    <w:rsid w:val="00D060F4"/>
    <w:rsid w:val="00D077F9"/>
    <w:rsid w:val="00D07E7A"/>
    <w:rsid w:val="00D114E0"/>
    <w:rsid w:val="00D1177B"/>
    <w:rsid w:val="00D11D7C"/>
    <w:rsid w:val="00D12B87"/>
    <w:rsid w:val="00D139CE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1362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67E9"/>
    <w:rsid w:val="00D47213"/>
    <w:rsid w:val="00D47E86"/>
    <w:rsid w:val="00D50252"/>
    <w:rsid w:val="00D50345"/>
    <w:rsid w:val="00D51C09"/>
    <w:rsid w:val="00D5284F"/>
    <w:rsid w:val="00D52F08"/>
    <w:rsid w:val="00D53447"/>
    <w:rsid w:val="00D53D21"/>
    <w:rsid w:val="00D54983"/>
    <w:rsid w:val="00D55576"/>
    <w:rsid w:val="00D55863"/>
    <w:rsid w:val="00D575AA"/>
    <w:rsid w:val="00D57770"/>
    <w:rsid w:val="00D61FFE"/>
    <w:rsid w:val="00D62611"/>
    <w:rsid w:val="00D62AE6"/>
    <w:rsid w:val="00D62EBA"/>
    <w:rsid w:val="00D63E76"/>
    <w:rsid w:val="00D6404E"/>
    <w:rsid w:val="00D6486D"/>
    <w:rsid w:val="00D65ABD"/>
    <w:rsid w:val="00D65BD2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45F3"/>
    <w:rsid w:val="00D87131"/>
    <w:rsid w:val="00D8737F"/>
    <w:rsid w:val="00D875C5"/>
    <w:rsid w:val="00D9216F"/>
    <w:rsid w:val="00D921CC"/>
    <w:rsid w:val="00D925AC"/>
    <w:rsid w:val="00D92700"/>
    <w:rsid w:val="00D929BD"/>
    <w:rsid w:val="00D939A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1F00"/>
    <w:rsid w:val="00DA243B"/>
    <w:rsid w:val="00DA2483"/>
    <w:rsid w:val="00DA3044"/>
    <w:rsid w:val="00DA3561"/>
    <w:rsid w:val="00DA39B0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C7FAF"/>
    <w:rsid w:val="00DD07AA"/>
    <w:rsid w:val="00DD0BC9"/>
    <w:rsid w:val="00DD2206"/>
    <w:rsid w:val="00DD34F6"/>
    <w:rsid w:val="00DD4947"/>
    <w:rsid w:val="00DD541C"/>
    <w:rsid w:val="00DD5FC2"/>
    <w:rsid w:val="00DD6652"/>
    <w:rsid w:val="00DD6FE3"/>
    <w:rsid w:val="00DE0794"/>
    <w:rsid w:val="00DE099B"/>
    <w:rsid w:val="00DE132E"/>
    <w:rsid w:val="00DE234B"/>
    <w:rsid w:val="00DE2F70"/>
    <w:rsid w:val="00DE3D29"/>
    <w:rsid w:val="00DE432F"/>
    <w:rsid w:val="00DE4D46"/>
    <w:rsid w:val="00DE5419"/>
    <w:rsid w:val="00DE5698"/>
    <w:rsid w:val="00DE5EA8"/>
    <w:rsid w:val="00DE6B96"/>
    <w:rsid w:val="00DF0E53"/>
    <w:rsid w:val="00DF128A"/>
    <w:rsid w:val="00DF1704"/>
    <w:rsid w:val="00DF1AFC"/>
    <w:rsid w:val="00DF221B"/>
    <w:rsid w:val="00DF2306"/>
    <w:rsid w:val="00DF2DF8"/>
    <w:rsid w:val="00DF7125"/>
    <w:rsid w:val="00DF76FD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082E"/>
    <w:rsid w:val="00E116B2"/>
    <w:rsid w:val="00E121CF"/>
    <w:rsid w:val="00E1330F"/>
    <w:rsid w:val="00E13C4D"/>
    <w:rsid w:val="00E14CFF"/>
    <w:rsid w:val="00E15471"/>
    <w:rsid w:val="00E17A83"/>
    <w:rsid w:val="00E20139"/>
    <w:rsid w:val="00E2022E"/>
    <w:rsid w:val="00E20448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4687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5024E"/>
    <w:rsid w:val="00E50B75"/>
    <w:rsid w:val="00E51287"/>
    <w:rsid w:val="00E53D1B"/>
    <w:rsid w:val="00E53F2A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70E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879"/>
    <w:rsid w:val="00ED2220"/>
    <w:rsid w:val="00ED31FF"/>
    <w:rsid w:val="00ED4B61"/>
    <w:rsid w:val="00ED5420"/>
    <w:rsid w:val="00ED6E97"/>
    <w:rsid w:val="00ED770C"/>
    <w:rsid w:val="00ED7A50"/>
    <w:rsid w:val="00ED7EC8"/>
    <w:rsid w:val="00EE02EC"/>
    <w:rsid w:val="00EE059C"/>
    <w:rsid w:val="00EE0F19"/>
    <w:rsid w:val="00EE1061"/>
    <w:rsid w:val="00EE4B57"/>
    <w:rsid w:val="00EE5265"/>
    <w:rsid w:val="00EE63CB"/>
    <w:rsid w:val="00EE6529"/>
    <w:rsid w:val="00EE6EAD"/>
    <w:rsid w:val="00EE6EF2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42B"/>
    <w:rsid w:val="00EF4901"/>
    <w:rsid w:val="00EF4E51"/>
    <w:rsid w:val="00EF622C"/>
    <w:rsid w:val="00EF6241"/>
    <w:rsid w:val="00EF791E"/>
    <w:rsid w:val="00EF7B8E"/>
    <w:rsid w:val="00EF7CB7"/>
    <w:rsid w:val="00F0049D"/>
    <w:rsid w:val="00F01F38"/>
    <w:rsid w:val="00F01F3B"/>
    <w:rsid w:val="00F02E30"/>
    <w:rsid w:val="00F05A89"/>
    <w:rsid w:val="00F060DD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3E44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362"/>
    <w:rsid w:val="00F30B59"/>
    <w:rsid w:val="00F319EE"/>
    <w:rsid w:val="00F32195"/>
    <w:rsid w:val="00F34F6C"/>
    <w:rsid w:val="00F3556F"/>
    <w:rsid w:val="00F35F53"/>
    <w:rsid w:val="00F37DDE"/>
    <w:rsid w:val="00F402DD"/>
    <w:rsid w:val="00F40314"/>
    <w:rsid w:val="00F41421"/>
    <w:rsid w:val="00F41744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37C2"/>
    <w:rsid w:val="00F7597C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6980"/>
    <w:rsid w:val="00F97C1E"/>
    <w:rsid w:val="00FA213D"/>
    <w:rsid w:val="00FA317A"/>
    <w:rsid w:val="00FA3F03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81B"/>
    <w:rsid w:val="00FE6A68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4CCF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LTE\RAN2\Weekly\W44\Overhead%20analysi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LTE\RAN2\Weekly\W44\Overhead%20analysi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LTE\RAN2\Weekly\W44\Overhead%20analysi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LTE\RAN2\Weekly\W44\Overhead%20analysi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Overhead ratio (10 bit SN)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strRef>
              <c:f>New!$J$5</c:f>
              <c:strCache>
                <c:ptCount val="1"/>
                <c:pt idx="0">
                  <c:v>LTE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New!$I$6:$I$10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300</c:v>
                </c:pt>
                <c:pt idx="3">
                  <c:v>400</c:v>
                </c:pt>
                <c:pt idx="4">
                  <c:v>800</c:v>
                </c:pt>
              </c:numCache>
            </c:numRef>
          </c:cat>
          <c:val>
            <c:numRef>
              <c:f>New!$J$6:$J$10</c:f>
              <c:numCache>
                <c:formatCode>0.000%</c:formatCode>
                <c:ptCount val="5"/>
                <c:pt idx="0">
                  <c:v>0.16</c:v>
                </c:pt>
                <c:pt idx="1">
                  <c:v>0.08</c:v>
                </c:pt>
                <c:pt idx="2">
                  <c:v>5.3333333333333337E-2</c:v>
                </c:pt>
                <c:pt idx="3">
                  <c:v>0.04</c:v>
                </c:pt>
                <c:pt idx="4">
                  <c:v>0.02</c:v>
                </c:pt>
              </c:numCache>
            </c:numRef>
          </c:val>
        </c:ser>
        <c:ser>
          <c:idx val="2"/>
          <c:order val="1"/>
          <c:tx>
            <c:strRef>
              <c:f>New!$K$5</c:f>
              <c:strCache>
                <c:ptCount val="1"/>
                <c:pt idx="0">
                  <c:v>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New!$I$6:$I$10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300</c:v>
                </c:pt>
                <c:pt idx="3">
                  <c:v>400</c:v>
                </c:pt>
                <c:pt idx="4">
                  <c:v>800</c:v>
                </c:pt>
              </c:numCache>
            </c:numRef>
          </c:cat>
          <c:val>
            <c:numRef>
              <c:f>New!$K$6:$K$10</c:f>
              <c:numCache>
                <c:formatCode>0.000%</c:formatCode>
                <c:ptCount val="5"/>
                <c:pt idx="0">
                  <c:v>0.32</c:v>
                </c:pt>
                <c:pt idx="1">
                  <c:v>0.16</c:v>
                </c:pt>
                <c:pt idx="2">
                  <c:v>0.10666666666666667</c:v>
                </c:pt>
                <c:pt idx="3">
                  <c:v>0.08</c:v>
                </c:pt>
                <c:pt idx="4">
                  <c:v>0.04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07716072"/>
        <c:axId val="207715680"/>
      </c:barChart>
      <c:catAx>
        <c:axId val="2077160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TB size (bits)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7715680"/>
        <c:crosses val="autoZero"/>
        <c:auto val="1"/>
        <c:lblAlgn val="ctr"/>
        <c:lblOffset val="100"/>
        <c:noMultiLvlLbl val="0"/>
      </c:catAx>
      <c:valAx>
        <c:axId val="207715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</a:t>
                </a:r>
                <a:r>
                  <a:rPr lang="en-US" baseline="0"/>
                  <a:t> ratio</a:t>
                </a:r>
                <a:endParaRPr 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771607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Overhead ratio (16 bit SN)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strRef>
              <c:f>New!$J$19</c:f>
              <c:strCache>
                <c:ptCount val="1"/>
                <c:pt idx="0">
                  <c:v>LTE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New!$I$20:$I$24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300</c:v>
                </c:pt>
                <c:pt idx="3">
                  <c:v>400</c:v>
                </c:pt>
                <c:pt idx="4">
                  <c:v>800</c:v>
                </c:pt>
              </c:numCache>
            </c:numRef>
          </c:cat>
          <c:val>
            <c:numRef>
              <c:f>New!$J$20:$J$24</c:f>
              <c:numCache>
                <c:formatCode>0.000%</c:formatCode>
                <c:ptCount val="5"/>
                <c:pt idx="0">
                  <c:v>0.24</c:v>
                </c:pt>
                <c:pt idx="1">
                  <c:v>0.12</c:v>
                </c:pt>
                <c:pt idx="2">
                  <c:v>0.08</c:v>
                </c:pt>
                <c:pt idx="3">
                  <c:v>0.06</c:v>
                </c:pt>
                <c:pt idx="4">
                  <c:v>0.03</c:v>
                </c:pt>
              </c:numCache>
            </c:numRef>
          </c:val>
        </c:ser>
        <c:ser>
          <c:idx val="2"/>
          <c:order val="1"/>
          <c:tx>
            <c:strRef>
              <c:f>New!$K$19</c:f>
              <c:strCache>
                <c:ptCount val="1"/>
                <c:pt idx="0">
                  <c:v>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New!$I$20:$I$24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300</c:v>
                </c:pt>
                <c:pt idx="3">
                  <c:v>400</c:v>
                </c:pt>
                <c:pt idx="4">
                  <c:v>800</c:v>
                </c:pt>
              </c:numCache>
            </c:numRef>
          </c:cat>
          <c:val>
            <c:numRef>
              <c:f>New!$K$20:$K$24</c:f>
              <c:numCache>
                <c:formatCode>0.000%</c:formatCode>
                <c:ptCount val="5"/>
                <c:pt idx="0">
                  <c:v>0.4</c:v>
                </c:pt>
                <c:pt idx="1">
                  <c:v>0.2</c:v>
                </c:pt>
                <c:pt idx="2">
                  <c:v>0.13333333333333333</c:v>
                </c:pt>
                <c:pt idx="3">
                  <c:v>0.1</c:v>
                </c:pt>
                <c:pt idx="4">
                  <c:v>0.05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371616008"/>
        <c:axId val="371615616"/>
      </c:barChart>
      <c:catAx>
        <c:axId val="37161600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TB size (bits)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1615616"/>
        <c:crosses val="autoZero"/>
        <c:auto val="1"/>
        <c:lblAlgn val="ctr"/>
        <c:lblOffset val="100"/>
        <c:noMultiLvlLbl val="0"/>
      </c:catAx>
      <c:valAx>
        <c:axId val="371615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</a:t>
                </a:r>
                <a:r>
                  <a:rPr lang="en-US" baseline="0"/>
                  <a:t> ratio</a:t>
                </a:r>
                <a:endParaRPr 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161600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Overhead ratio (10 bit SN)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strRef>
              <c:f>New!$J$5</c:f>
              <c:strCache>
                <c:ptCount val="1"/>
                <c:pt idx="0">
                  <c:v>LTE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New!$I$6:$I$10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300</c:v>
                </c:pt>
                <c:pt idx="3">
                  <c:v>400</c:v>
                </c:pt>
                <c:pt idx="4">
                  <c:v>800</c:v>
                </c:pt>
              </c:numCache>
            </c:numRef>
          </c:cat>
          <c:val>
            <c:numRef>
              <c:f>New!$J$6:$J$10</c:f>
              <c:numCache>
                <c:formatCode>0.000%</c:formatCode>
                <c:ptCount val="5"/>
                <c:pt idx="0">
                  <c:v>0.16</c:v>
                </c:pt>
                <c:pt idx="1">
                  <c:v>0.08</c:v>
                </c:pt>
                <c:pt idx="2">
                  <c:v>5.3333333333333337E-2</c:v>
                </c:pt>
                <c:pt idx="3">
                  <c:v>0.04</c:v>
                </c:pt>
                <c:pt idx="4">
                  <c:v>0.02</c:v>
                </c:pt>
              </c:numCache>
            </c:numRef>
          </c:val>
        </c:ser>
        <c:ser>
          <c:idx val="2"/>
          <c:order val="1"/>
          <c:tx>
            <c:strRef>
              <c:f>New!$K$5</c:f>
              <c:strCache>
                <c:ptCount val="1"/>
                <c:pt idx="0">
                  <c:v>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New!$I$6:$I$10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300</c:v>
                </c:pt>
                <c:pt idx="3">
                  <c:v>400</c:v>
                </c:pt>
                <c:pt idx="4">
                  <c:v>800</c:v>
                </c:pt>
              </c:numCache>
            </c:numRef>
          </c:cat>
          <c:val>
            <c:numRef>
              <c:f>New!$K$6:$K$10</c:f>
              <c:numCache>
                <c:formatCode>0.000%</c:formatCode>
                <c:ptCount val="5"/>
                <c:pt idx="0">
                  <c:v>0.32</c:v>
                </c:pt>
                <c:pt idx="1">
                  <c:v>0.16</c:v>
                </c:pt>
                <c:pt idx="2">
                  <c:v>0.10666666666666667</c:v>
                </c:pt>
                <c:pt idx="3">
                  <c:v>0.08</c:v>
                </c:pt>
                <c:pt idx="4">
                  <c:v>0.04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94991320"/>
        <c:axId val="376357784"/>
      </c:barChart>
      <c:catAx>
        <c:axId val="2949913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TB size (bits)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6357784"/>
        <c:crosses val="autoZero"/>
        <c:auto val="1"/>
        <c:lblAlgn val="ctr"/>
        <c:lblOffset val="100"/>
        <c:noMultiLvlLbl val="0"/>
      </c:catAx>
      <c:valAx>
        <c:axId val="376357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</a:t>
                </a:r>
                <a:r>
                  <a:rPr lang="en-US" baseline="0"/>
                  <a:t> ratio</a:t>
                </a:r>
                <a:endParaRPr 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499132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Overhead ratio (16 bit SN)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strRef>
              <c:f>New!$J$19</c:f>
              <c:strCache>
                <c:ptCount val="1"/>
                <c:pt idx="0">
                  <c:v>LTE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New!$I$20:$I$24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300</c:v>
                </c:pt>
                <c:pt idx="3">
                  <c:v>400</c:v>
                </c:pt>
                <c:pt idx="4">
                  <c:v>800</c:v>
                </c:pt>
              </c:numCache>
            </c:numRef>
          </c:cat>
          <c:val>
            <c:numRef>
              <c:f>New!$J$20:$J$24</c:f>
              <c:numCache>
                <c:formatCode>0.000%</c:formatCode>
                <c:ptCount val="5"/>
                <c:pt idx="0">
                  <c:v>0.24</c:v>
                </c:pt>
                <c:pt idx="1">
                  <c:v>0.12</c:v>
                </c:pt>
                <c:pt idx="2">
                  <c:v>0.08</c:v>
                </c:pt>
                <c:pt idx="3">
                  <c:v>0.06</c:v>
                </c:pt>
                <c:pt idx="4">
                  <c:v>0.03</c:v>
                </c:pt>
              </c:numCache>
            </c:numRef>
          </c:val>
        </c:ser>
        <c:ser>
          <c:idx val="2"/>
          <c:order val="1"/>
          <c:tx>
            <c:strRef>
              <c:f>New!$K$19</c:f>
              <c:strCache>
                <c:ptCount val="1"/>
                <c:pt idx="0">
                  <c:v>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New!$I$20:$I$24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300</c:v>
                </c:pt>
                <c:pt idx="3">
                  <c:v>400</c:v>
                </c:pt>
                <c:pt idx="4">
                  <c:v>800</c:v>
                </c:pt>
              </c:numCache>
            </c:numRef>
          </c:cat>
          <c:val>
            <c:numRef>
              <c:f>New!$K$20:$K$24</c:f>
              <c:numCache>
                <c:formatCode>0.000%</c:formatCode>
                <c:ptCount val="5"/>
                <c:pt idx="0">
                  <c:v>0.4</c:v>
                </c:pt>
                <c:pt idx="1">
                  <c:v>0.2</c:v>
                </c:pt>
                <c:pt idx="2">
                  <c:v>0.13333333333333333</c:v>
                </c:pt>
                <c:pt idx="3">
                  <c:v>0.1</c:v>
                </c:pt>
                <c:pt idx="4">
                  <c:v>0.05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373938776"/>
        <c:axId val="373939168"/>
      </c:barChart>
      <c:catAx>
        <c:axId val="3739387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TB size (bits)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3939168"/>
        <c:crosses val="autoZero"/>
        <c:auto val="1"/>
        <c:lblAlgn val="ctr"/>
        <c:lblOffset val="100"/>
        <c:noMultiLvlLbl val="0"/>
      </c:catAx>
      <c:valAx>
        <c:axId val="373939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</a:t>
                </a:r>
                <a:r>
                  <a:rPr lang="en-US" baseline="0"/>
                  <a:t> ratio</a:t>
                </a:r>
                <a:endParaRPr 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3938776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0A781-74C0-43AE-BE09-96CA3939B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2016-11-04T20:34:00Z</dcterms:created>
  <dcterms:modified xsi:type="dcterms:W3CDTF">2016-11-04T20:36:00Z</dcterms:modified>
</cp:coreProperties>
</file>